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W w:w="9624" w:type="dxa"/>
        <w:jc w:val="center"/>
        <w:tblBorders>
          <w:top w:val="none" w:color="auto" w:sz="0" w:space="0"/>
          <w:left w:val="none" w:color="auto" w:sz="0" w:space="0"/>
          <w:bottom w:val="thinThickSmallGap"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24"/>
      </w:tblGrid>
      <w:tr>
        <w:tblPrEx>
          <w:tblBorders>
            <w:top w:val="none" w:color="auto" w:sz="0" w:space="0"/>
            <w:left w:val="none" w:color="auto" w:sz="0" w:space="0"/>
            <w:bottom w:val="thinThickSmallGap"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9624" w:type="dxa"/>
          </w:tcPr>
          <w:p>
            <w:pPr>
              <w:pStyle w:val="2"/>
              <w:numPr>
                <w:ilvl w:val="0"/>
                <w:numId w:val="0"/>
              </w:numPr>
              <w:autoSpaceDE w:val="0"/>
              <w:autoSpaceDN w:val="0"/>
              <w:snapToGrid w:val="0"/>
              <w:jc w:val="distribute"/>
              <w:rPr>
                <w:b/>
                <w:color w:val="FF0000"/>
                <w:w w:val="90"/>
                <w:kern w:val="72"/>
                <w:sz w:val="72"/>
              </w:rPr>
            </w:pPr>
            <w:bookmarkStart w:id="0" w:name="xxqqWholeArea"/>
            <w:r>
              <w:rPr>
                <w:rFonts w:hint="eastAsia"/>
                <w:b/>
                <w:color w:val="FF0000"/>
                <w:spacing w:val="120"/>
                <w:w w:val="90"/>
                <w:kern w:val="72"/>
                <w:sz w:val="72"/>
              </w:rPr>
              <w:t>东莞市交通运输局</w:t>
            </w:r>
          </w:p>
        </w:tc>
      </w:tr>
      <w:bookmarkEnd w:id="0"/>
    </w:tbl>
    <w:p>
      <w:pPr>
        <w:spacing w:line="600" w:lineRule="exact"/>
        <w:jc w:val="right"/>
      </w:pPr>
      <w:r>
        <w:rPr>
          <w:rFonts w:hint="eastAsia" w:ascii="仿宋_GB2312" w:eastAsia="仿宋_GB2312"/>
          <w:sz w:val="32"/>
          <w:szCs w:val="32"/>
        </w:rPr>
        <w:t>（</w:t>
      </w:r>
      <w:r>
        <w:rPr>
          <w:rFonts w:ascii="仿宋_GB2312" w:eastAsia="仿宋_GB2312"/>
          <w:sz w:val="32"/>
          <w:szCs w:val="32"/>
        </w:rPr>
        <w:t>B</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：城市规划和建设类</w:t>
      </w:r>
    </w:p>
    <w:p>
      <w:pPr>
        <w:pStyle w:val="23"/>
        <w:adjustRightInd w:val="0"/>
        <w:snapToGrid w:val="0"/>
        <w:spacing w:line="600" w:lineRule="exact"/>
        <w:ind w:firstLine="640"/>
        <w:jc w:val="right"/>
        <w:rPr>
          <w:rFonts w:ascii="仿宋_GB2312"/>
          <w:szCs w:val="32"/>
        </w:rPr>
      </w:pPr>
      <w:r>
        <w:rPr>
          <w:rFonts w:hint="eastAsia" w:ascii="仿宋_GB2312"/>
          <w:szCs w:val="32"/>
        </w:rPr>
        <w:t>东交函〔202</w:t>
      </w:r>
      <w:r>
        <w:rPr>
          <w:rFonts w:hint="eastAsia" w:ascii="仿宋_GB2312"/>
          <w:szCs w:val="32"/>
          <w:lang w:eastAsia="zh-CN"/>
        </w:rPr>
        <w:t>2</w:t>
      </w:r>
      <w:r>
        <w:rPr>
          <w:rFonts w:hint="eastAsia" w:ascii="仿宋_GB2312"/>
          <w:szCs w:val="32"/>
        </w:rPr>
        <w:t>〕</w:t>
      </w:r>
      <w:r>
        <w:rPr>
          <w:rFonts w:hint="eastAsia" w:ascii="仿宋_GB2312"/>
          <w:szCs w:val="32"/>
          <w:lang w:eastAsia="zh-CN"/>
        </w:rPr>
        <w:t>363</w:t>
      </w:r>
      <w:r>
        <w:rPr>
          <w:rFonts w:hint="eastAsia" w:ascii="仿宋_GB2312"/>
          <w:szCs w:val="32"/>
        </w:rPr>
        <w:t>号</w:t>
      </w:r>
    </w:p>
    <w:p>
      <w:pPr>
        <w:topLinePunct/>
        <w:autoSpaceDE w:val="0"/>
        <w:autoSpaceDN w:val="0"/>
        <w:spacing w:line="600" w:lineRule="exact"/>
        <w:rPr>
          <w:rFonts w:eastAsia="华康简标题宋"/>
          <w:sz w:val="30"/>
        </w:rPr>
      </w:pP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对东莞市十七届人大一次会议代表建议第20220032号的答复</w:t>
      </w:r>
    </w:p>
    <w:p>
      <w:pPr>
        <w:jc w:val="center"/>
        <w:rPr>
          <w:bCs/>
          <w:szCs w:val="44"/>
        </w:rPr>
      </w:pPr>
    </w:p>
    <w:p>
      <w:pPr>
        <w:topLinePunct/>
        <w:autoSpaceDE w:val="0"/>
        <w:spacing w:line="560" w:lineRule="exact"/>
        <w:rPr>
          <w:rFonts w:ascii="仿宋_GB2312" w:eastAsia="仿宋_GB2312"/>
          <w:bCs/>
          <w:sz w:val="32"/>
          <w:szCs w:val="32"/>
        </w:rPr>
      </w:pPr>
      <w:r>
        <w:rPr>
          <w:rFonts w:hint="eastAsia" w:ascii="仿宋_GB2312" w:eastAsia="仿宋_GB2312"/>
          <w:bCs/>
          <w:sz w:val="32"/>
          <w:szCs w:val="32"/>
        </w:rPr>
        <w:t>尊敬的王沛代表：</w:t>
      </w:r>
    </w:p>
    <w:p>
      <w:pPr>
        <w:topLinePunct/>
        <w:autoSpaceDE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您在东莞市十七届人大一次会议提出的《关于粤港澳大湾区建设背景下构建东莞市交通体系新标准的建议》收悉。经综合市轨道交通局,市交投集团,市城市管理综合执法局等部门意见，现答复如下：</w:t>
      </w:r>
    </w:p>
    <w:p>
      <w:pPr>
        <w:topLinePunct/>
        <w:autoSpaceDE w:val="0"/>
        <w:spacing w:line="560" w:lineRule="exact"/>
        <w:ind w:firstLine="640"/>
        <w:rPr>
          <w:rFonts w:ascii="仿宋_GB2312" w:eastAsia="仿宋_GB2312"/>
          <w:bCs/>
          <w:sz w:val="32"/>
          <w:szCs w:val="32"/>
        </w:rPr>
      </w:pPr>
      <w:r>
        <w:rPr>
          <w:rFonts w:hint="eastAsia" w:ascii="仿宋_GB2312" w:eastAsia="仿宋_GB2312"/>
          <w:bCs/>
          <w:sz w:val="32"/>
          <w:szCs w:val="32"/>
        </w:rPr>
        <w:t>一、关于综合交通体系。建议提出开展“东莞市综合交通体系规划”，目前，我局组织了《东莞市综合交通运输</w:t>
      </w:r>
      <w:r>
        <w:rPr>
          <w:rFonts w:hint="eastAsia" w:ascii="仿宋_GB2312" w:eastAsia="仿宋_GB2312"/>
          <w:bCs/>
          <w:sz w:val="32"/>
          <w:szCs w:val="32"/>
          <w:lang w:eastAsia="zh-CN"/>
        </w:rPr>
        <w:t>“</w:t>
      </w:r>
      <w:r>
        <w:rPr>
          <w:rFonts w:hint="eastAsia" w:ascii="仿宋_GB2312" w:eastAsia="仿宋_GB2312"/>
          <w:bCs/>
          <w:sz w:val="32"/>
          <w:szCs w:val="32"/>
        </w:rPr>
        <w:t>十四五</w:t>
      </w:r>
      <w:r>
        <w:rPr>
          <w:rFonts w:hint="eastAsia" w:ascii="仿宋_GB2312" w:eastAsia="仿宋_GB2312"/>
          <w:bCs/>
          <w:sz w:val="32"/>
          <w:szCs w:val="32"/>
          <w:lang w:eastAsia="zh-CN"/>
        </w:rPr>
        <w:t>”</w:t>
      </w:r>
      <w:r>
        <w:rPr>
          <w:rFonts w:hint="eastAsia" w:ascii="仿宋_GB2312" w:eastAsia="仿宋_GB2312"/>
          <w:bCs/>
          <w:sz w:val="32"/>
          <w:szCs w:val="32"/>
        </w:rPr>
        <w:t>规划》，按照《交通强国建设纲要》提出的打造“四个一流”决策部署，必</w:t>
      </w:r>
      <w:bookmarkStart w:id="1" w:name="_GoBack"/>
      <w:bookmarkEnd w:id="1"/>
      <w:r>
        <w:rPr>
          <w:rFonts w:hint="eastAsia" w:ascii="仿宋_GB2312" w:eastAsia="仿宋_GB2312"/>
          <w:bCs/>
          <w:sz w:val="32"/>
          <w:szCs w:val="32"/>
        </w:rPr>
        <w:t>须牢固树立“综合交通、品质交通”发展理念，实现“四个转变”：从公路交通向综合交通转变、从功能交通向品质交通转变、从常规公交向公交都市转变、从以小汽车为本向以人为本转变。构建“四个体系”：立体化综合交通网络体系、智能化综合交通技术体系、现代化综合交通治理体系、品质化综合交通服务体系。“十四五”期末，初步建成现代立体综合交通运输体系、支撑城市高质量发展。城市交通枢纽功能、融入区域城市群协同发展水平、城市交通品质化程度稳步提升，为促进粤港澳大湾区建设、服务全市社会经济发展、满足人民美好出行需求提供有力支撑。同时，为加快交通强市建设，进一步落实国家、省推动综合立体交通网建设的战略要求，我局计划启动《东莞市综合立体交通网规划》研究。</w:t>
      </w:r>
    </w:p>
    <w:p>
      <w:pPr>
        <w:topLinePunct/>
        <w:autoSpaceDE w:val="0"/>
        <w:spacing w:line="560" w:lineRule="exact"/>
        <w:ind w:firstLine="640"/>
        <w:rPr>
          <w:rFonts w:ascii="仿宋_GB2312" w:eastAsia="仿宋_GB2312"/>
          <w:bCs/>
          <w:sz w:val="32"/>
          <w:szCs w:val="32"/>
        </w:rPr>
      </w:pPr>
      <w:r>
        <w:rPr>
          <w:rFonts w:hint="eastAsia" w:ascii="仿宋_GB2312" w:eastAsia="仿宋_GB2312"/>
          <w:bCs/>
          <w:sz w:val="32"/>
          <w:szCs w:val="32"/>
        </w:rPr>
        <w:t>二、关于汽车限购限行政策。建议提出开展我市小汽车限购政策、中心城区交通拥堵收费政策、东莞市机动车限行政策等一系列政策研究。限购限行和拥堵政策不符合目前国家相关政策，暂不适宜开展。下来，我局将积极探索通过交通需求管理引导多样化的交通出行方式。</w:t>
      </w:r>
    </w:p>
    <w:p>
      <w:pPr>
        <w:topLinePunct/>
        <w:autoSpaceDE w:val="0"/>
        <w:spacing w:line="560" w:lineRule="exact"/>
        <w:ind w:firstLine="640"/>
        <w:rPr>
          <w:rFonts w:ascii="仿宋_GB2312" w:eastAsia="仿宋_GB2312"/>
          <w:bCs/>
          <w:sz w:val="32"/>
          <w:szCs w:val="32"/>
        </w:rPr>
      </w:pPr>
      <w:r>
        <w:rPr>
          <w:rFonts w:hint="eastAsia" w:ascii="仿宋_GB2312" w:eastAsia="仿宋_GB2312"/>
          <w:bCs/>
          <w:sz w:val="32"/>
          <w:szCs w:val="32"/>
        </w:rPr>
        <w:t>三、关于路网方面。建议提出开展“东莞市干线道路红线管控研究”、“东莞市窄路密网适应性与规划管控研究”。目前，我局正开展《东莞市干线路网规划》研究，将提出相应的红线管控和建筑退缩要求；我局倡导窄路密网的形式进一步完善我市路网、打通微循环，下来我局将结合工作实际推进相关研究。</w:t>
      </w:r>
    </w:p>
    <w:p>
      <w:pPr>
        <w:topLinePunct/>
        <w:autoSpaceDE w:val="0"/>
        <w:spacing w:line="560" w:lineRule="exact"/>
        <w:ind w:firstLine="640"/>
        <w:rPr>
          <w:rFonts w:ascii="仿宋_GB2312" w:eastAsia="仿宋_GB2312"/>
          <w:bCs/>
          <w:sz w:val="32"/>
          <w:szCs w:val="32"/>
        </w:rPr>
      </w:pPr>
      <w:r>
        <w:rPr>
          <w:rFonts w:hint="eastAsia" w:ascii="仿宋_GB2312" w:eastAsia="仿宋_GB2312"/>
          <w:bCs/>
          <w:sz w:val="32"/>
          <w:szCs w:val="32"/>
        </w:rPr>
        <w:t>四、关于交通设施供应。建议提出各镇街（园区）开展“公交场站规划研究”，我局于2020年6月印发了《东莞市公交站场配建管理办法》、《东莞市公交站场配建技术指引》，并积极引导镇街加强公交场站的建设，下来，我局也将积极引导有条件的镇街通过交通专项规划或站场研究等形式加强规划研究。</w:t>
      </w:r>
    </w:p>
    <w:p>
      <w:pPr>
        <w:topLinePunct/>
        <w:autoSpaceDE w:val="0"/>
        <w:spacing w:line="560" w:lineRule="exact"/>
        <w:ind w:firstLine="640"/>
        <w:rPr>
          <w:rFonts w:ascii="仿宋_GB2312" w:eastAsia="仿宋_GB2312"/>
          <w:bCs/>
          <w:sz w:val="32"/>
          <w:szCs w:val="32"/>
        </w:rPr>
      </w:pPr>
      <w:r>
        <w:rPr>
          <w:rFonts w:hint="eastAsia" w:ascii="仿宋_GB2312" w:eastAsia="仿宋_GB2312"/>
          <w:bCs/>
          <w:sz w:val="32"/>
          <w:szCs w:val="32"/>
        </w:rPr>
        <w:t>五、关于片区交通治理。建议提出开展“东莞市学校和医院等重大交通吸引点周边交通规划设计研究”，我局积极推动片区交通综合治理工作，</w:t>
      </w:r>
      <w:r>
        <w:rPr>
          <w:rFonts w:ascii="Times New Roman" w:eastAsia="仿宋_GB2312"/>
          <w:sz w:val="32"/>
          <w:szCs w:val="32"/>
        </w:rPr>
        <w:t>按照“一堵点一对策、一片区一对策”的原则，持续推动重要节点以及医院、商圈等重点片区交通综合治理，近三年完成277个堵点治理及东华光明学校、市人民医院万江院区等多个片区整治，有效缓解交通拥堵，提升交通出行品质，治理效果明显，实现效率品质齐增。</w:t>
      </w:r>
      <w:r>
        <w:rPr>
          <w:rFonts w:hint="eastAsia" w:ascii="Times New Roman" w:eastAsia="仿宋_GB2312"/>
          <w:sz w:val="32"/>
          <w:szCs w:val="32"/>
        </w:rPr>
        <w:t>下来，我局将结合城市发展情况，持续地推进片区交通综合治理工作。</w:t>
      </w:r>
    </w:p>
    <w:p>
      <w:pPr>
        <w:topLinePunct/>
        <w:autoSpaceDE w:val="0"/>
        <w:spacing w:line="560" w:lineRule="exact"/>
        <w:ind w:firstLine="612"/>
        <w:rPr>
          <w:rFonts w:ascii="仿宋_GB2312" w:eastAsia="仿宋_GB2312"/>
          <w:sz w:val="32"/>
          <w:szCs w:val="32"/>
        </w:rPr>
      </w:pPr>
      <w:r>
        <w:rPr>
          <w:rFonts w:hint="eastAsia" w:ascii="仿宋_GB2312" w:eastAsia="仿宋_GB2312"/>
          <w:bCs/>
          <w:sz w:val="32"/>
          <w:szCs w:val="32"/>
        </w:rPr>
        <w:t>谢谢您的建议，希望您继续关心和支持我市交通事业的发展，提出更多宝贵的建议。</w:t>
      </w:r>
    </w:p>
    <w:p>
      <w:pPr>
        <w:topLinePunct/>
        <w:autoSpaceDE w:val="0"/>
        <w:spacing w:line="560" w:lineRule="exact"/>
        <w:rPr>
          <w:rFonts w:hint="eastAsia" w:ascii="仿宋_GB2312" w:eastAsia="仿宋_GB2312"/>
          <w:sz w:val="32"/>
          <w:szCs w:val="32"/>
        </w:rPr>
      </w:pPr>
    </w:p>
    <w:p>
      <w:pPr>
        <w:topLinePunct/>
        <w:autoSpaceDE w:val="0"/>
        <w:spacing w:line="560" w:lineRule="exact"/>
        <w:rPr>
          <w:rFonts w:ascii="仿宋_GB2312" w:eastAsia="仿宋_GB2312"/>
          <w:sz w:val="32"/>
          <w:szCs w:val="32"/>
        </w:rPr>
      </w:pPr>
    </w:p>
    <w:p>
      <w:pPr>
        <w:ind w:firstLine="620"/>
        <w:rPr>
          <w:rFonts w:ascii="仿宋_GB2312" w:eastAsia="仿宋_GB2312"/>
          <w:sz w:val="32"/>
          <w:szCs w:val="32"/>
        </w:rPr>
      </w:pPr>
    </w:p>
    <w:p>
      <w:pPr>
        <w:ind w:right="640" w:firstLine="620"/>
        <w:jc w:val="center"/>
        <w:rPr>
          <w:rFonts w:ascii="仿宋_GB2312" w:eastAsia="仿宋_GB2312"/>
          <w:sz w:val="32"/>
          <w:szCs w:val="32"/>
        </w:rPr>
      </w:pPr>
      <w:r>
        <w:rPr>
          <w:rFonts w:hint="eastAsia" w:ascii="仿宋_GB2312" w:hAnsi="宋体" w:eastAsia="仿宋_GB2312"/>
          <w:sz w:val="32"/>
          <w:szCs w:val="32"/>
        </w:rPr>
        <w:t xml:space="preserve">                            东莞市交通运输局</w:t>
      </w:r>
    </w:p>
    <w:p>
      <w:pPr>
        <w:topLinePunct/>
        <w:autoSpaceDE w:val="0"/>
        <w:autoSpaceDN w:val="0"/>
        <w:spacing w:line="600" w:lineRule="exact"/>
        <w:ind w:right="1075" w:rightChars="347"/>
        <w:jc w:val="right"/>
        <w:rPr>
          <w:rFonts w:ascii="仿宋_GB2312" w:eastAsia="仿宋_GB2312"/>
          <w:sz w:val="32"/>
          <w:szCs w:val="32"/>
        </w:rPr>
      </w:pPr>
      <w:r>
        <w:rPr>
          <w:rFonts w:hint="eastAsia" w:ascii="仿宋_GB2312" w:eastAsia="仿宋_GB2312"/>
          <w:sz w:val="32"/>
          <w:szCs w:val="32"/>
        </w:rPr>
        <w:t>2022年10月17日</w:t>
      </w:r>
    </w:p>
    <w:p>
      <w:pPr>
        <w:topLinePunct/>
        <w:autoSpaceDE w:val="0"/>
        <w:autoSpaceDN w:val="0"/>
        <w:spacing w:line="600" w:lineRule="exact"/>
        <w:ind w:right="1075" w:rightChars="347"/>
        <w:jc w:val="right"/>
        <w:rPr>
          <w:rFonts w:ascii="仿宋_GB2312" w:eastAsia="仿宋_GB2312"/>
          <w:sz w:val="32"/>
          <w:szCs w:val="32"/>
        </w:rPr>
      </w:pPr>
    </w:p>
    <w:p>
      <w:pPr>
        <w:jc w:val="center"/>
        <w:rPr>
          <w:rFonts w:ascii="仿宋_GB2312" w:eastAsia="仿宋_GB2312"/>
          <w:sz w:val="32"/>
          <w:szCs w:val="32"/>
        </w:rPr>
      </w:pPr>
      <w:r>
        <w:rPr>
          <w:rFonts w:hint="eastAsia" w:ascii="仿宋_GB2312" w:eastAsia="仿宋_GB2312"/>
          <w:sz w:val="32"/>
          <w:szCs w:val="32"/>
        </w:rPr>
        <w:t>（联系人: 朱必升，联系电话:0769-22002164）</w:t>
      </w:r>
    </w:p>
    <w:p>
      <w:pPr>
        <w:topLinePunct/>
        <w:autoSpaceDE w:val="0"/>
        <w:autoSpaceDN w:val="0"/>
        <w:spacing w:line="600" w:lineRule="exact"/>
        <w:ind w:right="1240" w:rightChars="400"/>
        <w:jc w:val="right"/>
        <w:rPr>
          <w:rFonts w:ascii="仿宋_GB2312" w:eastAsia="仿宋_GB2312"/>
          <w:sz w:val="32"/>
          <w:szCs w:val="32"/>
        </w:rPr>
      </w:pPr>
    </w:p>
    <w:sectPr>
      <w:footerReference r:id="rId3" w:type="default"/>
      <w:footerReference r:id="rId4" w:type="even"/>
      <w:pgSz w:w="11906" w:h="16838"/>
      <w:pgMar w:top="1678" w:right="1304" w:bottom="1304" w:left="1304" w:header="851" w:footer="1304" w:gutter="0"/>
      <w:pgBorders w:display="firstPage">
        <w:bottom w:val="thickThinSmallGap" w:color="FF0000" w:sz="24" w:space="2"/>
      </w:pgBorders>
      <w:cols w:space="720" w:num="1"/>
      <w:titlePg/>
      <w:docGrid w:type="linesAndChar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仿宋">
    <w:panose1 w:val="02020409010101010101"/>
    <w:charset w:val="86"/>
    <w:family w:val="modern"/>
    <w:pitch w:val="default"/>
    <w:sig w:usb0="00000001" w:usb1="08010000" w:usb2="00000012" w:usb3="00000000" w:csb0="00040000" w:csb1="00000000"/>
  </w:font>
  <w:font w:name="华康简标题宋">
    <w:panose1 w:val="02010609000101010101"/>
    <w:charset w:val="86"/>
    <w:family w:val="moder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757" w:wrap="around" w:vAnchor="text" w:hAnchor="page" w:x="9625" w:y="494"/>
      <w:jc w:val="center"/>
      <w:rPr>
        <w:rStyle w:val="20"/>
      </w:rPr>
    </w:pPr>
    <w:r>
      <w:rPr>
        <w:rStyle w:val="20"/>
        <w:rFonts w:hint="eastAsia"/>
      </w:rPr>
      <w:t>—</w:t>
    </w:r>
    <w:r>
      <w:rPr>
        <w:rStyle w:val="20"/>
      </w:rPr>
      <w:fldChar w:fldCharType="begin"/>
    </w:r>
    <w:r>
      <w:rPr>
        <w:rStyle w:val="20"/>
      </w:rPr>
      <w:instrText xml:space="preserve">PAGE  </w:instrText>
    </w:r>
    <w:r>
      <w:rPr>
        <w:rStyle w:val="20"/>
      </w:rPr>
      <w:fldChar w:fldCharType="separate"/>
    </w:r>
    <w:r>
      <w:rPr>
        <w:rStyle w:val="20"/>
      </w:rPr>
      <w:t>2</w:t>
    </w:r>
    <w:r>
      <w:rPr>
        <w:rStyle w:val="20"/>
      </w:rPr>
      <w:fldChar w:fldCharType="end"/>
    </w:r>
    <w:r>
      <w:rPr>
        <w:rStyle w:val="20"/>
        <w:rFonts w:hint="eastAsia"/>
      </w:rPr>
      <w:t>—</w:t>
    </w:r>
  </w:p>
  <w:p>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notBeside" w:vAnchor="page" w:hAnchor="page" w:x="1479" w:y="15598"/>
      <w:rPr>
        <w:rStyle w:val="20"/>
      </w:rPr>
    </w:pPr>
    <w:r>
      <w:rPr>
        <w:rStyle w:val="20"/>
        <w:rFonts w:hint="eastAsia"/>
      </w:rPr>
      <w:t>—</w:t>
    </w:r>
    <w:r>
      <w:rPr>
        <w:rStyle w:val="20"/>
      </w:rPr>
      <w:fldChar w:fldCharType="begin"/>
    </w:r>
    <w:r>
      <w:rPr>
        <w:rStyle w:val="20"/>
      </w:rPr>
      <w:instrText xml:space="preserve">PAGE  </w:instrText>
    </w:r>
    <w:r>
      <w:rPr>
        <w:rStyle w:val="20"/>
      </w:rPr>
      <w:fldChar w:fldCharType="separate"/>
    </w:r>
    <w:r>
      <w:rPr>
        <w:rStyle w:val="20"/>
      </w:rPr>
      <w:t>2</w:t>
    </w:r>
    <w:r>
      <w:rPr>
        <w:rStyle w:val="20"/>
      </w:rPr>
      <w:fldChar w:fldCharType="end"/>
    </w:r>
    <w:r>
      <w:rPr>
        <w:rStyle w:val="20"/>
        <w:rFonts w:hint="eastAsia"/>
      </w:rPr>
      <w:t>—</w:t>
    </w:r>
  </w:p>
  <w:p>
    <w:pPr>
      <w:pStyle w:val="16"/>
      <w:ind w:right="360"/>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2"/>
      <w:suff w:val="nothing"/>
      <w:lvlText w:val=""/>
      <w:lvlJc w:val="left"/>
    </w:lvl>
    <w:lvl w:ilvl="1" w:tentative="0">
      <w:start w:val="0"/>
      <w:numFmt w:val="decimal"/>
      <w:pStyle w:val="3"/>
      <w:lvlText w:val="%2"/>
      <w:legacy w:legacy="1" w:legacySpace="0" w:legacyIndent="0"/>
      <w:lvlJc w:val="left"/>
      <w:rPr>
        <w:rFonts w:hint="eastAsia" w:ascii="宋体" w:eastAsia="宋体"/>
      </w:rPr>
    </w:lvl>
    <w:lvl w:ilvl="2" w:tentative="0">
      <w:start w:val="0"/>
      <w:numFmt w:val="decimal"/>
      <w:pStyle w:val="4"/>
      <w:lvlText w:val="%3"/>
      <w:legacy w:legacy="1" w:legacySpace="0" w:legacyIndent="0"/>
      <w:lvlJc w:val="left"/>
      <w:rPr>
        <w:rFonts w:hint="eastAsia" w:ascii="宋体" w:eastAsia="宋体"/>
      </w:rPr>
    </w:lvl>
    <w:lvl w:ilvl="3" w:tentative="0">
      <w:start w:val="0"/>
      <w:numFmt w:val="decimal"/>
      <w:pStyle w:val="5"/>
      <w:lvlText w:val="%4"/>
      <w:legacy w:legacy="1" w:legacySpace="0" w:legacyIndent="0"/>
      <w:lvlJc w:val="left"/>
      <w:rPr>
        <w:rFonts w:hint="eastAsia" w:ascii="宋体" w:eastAsia="宋体"/>
      </w:rPr>
    </w:lvl>
    <w:lvl w:ilvl="4" w:tentative="0">
      <w:start w:val="0"/>
      <w:numFmt w:val="decimal"/>
      <w:pStyle w:val="6"/>
      <w:lvlText w:val="%5"/>
      <w:legacy w:legacy="1" w:legacySpace="0" w:legacyIndent="0"/>
      <w:lvlJc w:val="left"/>
      <w:rPr>
        <w:rFonts w:hint="eastAsia" w:ascii="宋体" w:eastAsia="宋体"/>
      </w:rPr>
    </w:lvl>
    <w:lvl w:ilvl="5" w:tentative="0">
      <w:start w:val="0"/>
      <w:numFmt w:val="decimal"/>
      <w:pStyle w:val="7"/>
      <w:lvlText w:val="%6"/>
      <w:legacy w:legacy="1" w:legacySpace="0" w:legacyIndent="0"/>
      <w:lvlJc w:val="left"/>
      <w:rPr>
        <w:rFonts w:hint="eastAsia" w:ascii="宋体" w:eastAsia="宋体"/>
      </w:rPr>
    </w:lvl>
    <w:lvl w:ilvl="6" w:tentative="0">
      <w:start w:val="0"/>
      <w:numFmt w:val="decimal"/>
      <w:pStyle w:val="8"/>
      <w:lvlText w:val="%7"/>
      <w:legacy w:legacy="1" w:legacySpace="0" w:legacyIndent="0"/>
      <w:lvlJc w:val="left"/>
      <w:rPr>
        <w:rFonts w:hint="eastAsia" w:ascii="宋体" w:eastAsia="宋体"/>
      </w:rPr>
    </w:lvl>
    <w:lvl w:ilvl="7" w:tentative="0">
      <w:start w:val="0"/>
      <w:numFmt w:val="decimal"/>
      <w:pStyle w:val="9"/>
      <w:lvlText w:val="%8"/>
      <w:legacy w:legacy="1" w:legacySpace="0" w:legacyIndent="0"/>
      <w:lvlJc w:val="left"/>
      <w:rPr>
        <w:rFonts w:hint="eastAsia" w:ascii="宋体" w:eastAsia="宋体"/>
      </w:rPr>
    </w:lvl>
    <w:lvl w:ilvl="8" w:tentative="0">
      <w:start w:val="0"/>
      <w:numFmt w:val="decimal"/>
      <w:pStyle w:val="10"/>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55"/>
  <w:drawingGridVerticalSpacing w:val="579"/>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034A99"/>
    <w:rsid w:val="00034A99"/>
    <w:rsid w:val="000B3033"/>
    <w:rsid w:val="00100648"/>
    <w:rsid w:val="001B24C3"/>
    <w:rsid w:val="001C2984"/>
    <w:rsid w:val="002F5A87"/>
    <w:rsid w:val="003847D5"/>
    <w:rsid w:val="003D0F54"/>
    <w:rsid w:val="003F554A"/>
    <w:rsid w:val="004C4DD6"/>
    <w:rsid w:val="004E1BC5"/>
    <w:rsid w:val="005603B9"/>
    <w:rsid w:val="00574A7D"/>
    <w:rsid w:val="005779FD"/>
    <w:rsid w:val="00603C16"/>
    <w:rsid w:val="00615245"/>
    <w:rsid w:val="006A36C5"/>
    <w:rsid w:val="006F448D"/>
    <w:rsid w:val="00734DE6"/>
    <w:rsid w:val="00850E6F"/>
    <w:rsid w:val="00892868"/>
    <w:rsid w:val="008E30E9"/>
    <w:rsid w:val="009A3A45"/>
    <w:rsid w:val="009F5F8D"/>
    <w:rsid w:val="00A31716"/>
    <w:rsid w:val="00A3482B"/>
    <w:rsid w:val="00A64062"/>
    <w:rsid w:val="00B17D7D"/>
    <w:rsid w:val="00B27792"/>
    <w:rsid w:val="00B36058"/>
    <w:rsid w:val="00B43744"/>
    <w:rsid w:val="00B44E3C"/>
    <w:rsid w:val="00B55149"/>
    <w:rsid w:val="00B57FFD"/>
    <w:rsid w:val="00B776B4"/>
    <w:rsid w:val="00BA0AB3"/>
    <w:rsid w:val="00BA6AB9"/>
    <w:rsid w:val="00BE5DCC"/>
    <w:rsid w:val="00BE6234"/>
    <w:rsid w:val="00C020C9"/>
    <w:rsid w:val="00C13CA0"/>
    <w:rsid w:val="00C160FC"/>
    <w:rsid w:val="00C43178"/>
    <w:rsid w:val="00C642B7"/>
    <w:rsid w:val="00C81D96"/>
    <w:rsid w:val="00C868B2"/>
    <w:rsid w:val="00CA35AD"/>
    <w:rsid w:val="00CB07B9"/>
    <w:rsid w:val="00D26578"/>
    <w:rsid w:val="00D30002"/>
    <w:rsid w:val="00DD5899"/>
    <w:rsid w:val="00F122F8"/>
    <w:rsid w:val="00F52F01"/>
    <w:rsid w:val="00F5735E"/>
    <w:rsid w:val="00FC3656"/>
    <w:rsid w:val="05F46EC2"/>
    <w:rsid w:val="16B366B0"/>
    <w:rsid w:val="20E70D91"/>
    <w:rsid w:val="29F35370"/>
    <w:rsid w:val="30C43F80"/>
    <w:rsid w:val="4B0945D3"/>
    <w:rsid w:val="5D250A36"/>
    <w:rsid w:val="63A35876"/>
    <w:rsid w:val="71D61E01"/>
    <w:rsid w:val="7FFA1005"/>
    <w:rsid w:val="CF1B3242"/>
    <w:rsid w:val="DA39DEF1"/>
    <w:rsid w:val="EBD7D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华康简仿宋" w:hAnsi="Times New Roman" w:eastAsia="华康简仿宋" w:cs="Times New Roman"/>
      <w:kern w:val="2"/>
      <w:sz w:val="31"/>
      <w:szCs w:val="24"/>
      <w:lang w:val="en-US" w:eastAsia="zh-CN" w:bidi="ar-SA"/>
    </w:rPr>
  </w:style>
  <w:style w:type="paragraph" w:styleId="2">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ascii="Times New Roman" w:eastAsia="华康简标题宋"/>
      <w:kern w:val="44"/>
      <w:sz w:val="36"/>
      <w:szCs w:val="20"/>
    </w:rPr>
  </w:style>
  <w:style w:type="paragraph" w:styleId="3">
    <w:name w:val="heading 2"/>
    <w:basedOn w:val="1"/>
    <w:next w:val="1"/>
    <w:qFormat/>
    <w:uiPriority w:val="0"/>
    <w:pPr>
      <w:keepNext/>
      <w:keepLines/>
      <w:widowControl/>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widowControl/>
      <w:numPr>
        <w:ilvl w:val="2"/>
        <w:numId w:val="1"/>
      </w:numPr>
      <w:adjustRightInd w:val="0"/>
      <w:spacing w:before="260" w:after="260" w:line="416" w:lineRule="atLeast"/>
      <w:textAlignment w:val="baseline"/>
      <w:outlineLvl w:val="2"/>
    </w:pPr>
    <w:rPr>
      <w:rFonts w:ascii="Times New Roman" w:eastAsia="仿宋_GB2312"/>
      <w:b/>
      <w:kern w:val="0"/>
      <w:sz w:val="32"/>
      <w:szCs w:val="20"/>
    </w:rPr>
  </w:style>
  <w:style w:type="paragraph" w:styleId="5">
    <w:name w:val="heading 4"/>
    <w:basedOn w:val="1"/>
    <w:next w:val="1"/>
    <w:qFormat/>
    <w:uiPriority w:val="0"/>
    <w:pPr>
      <w:keepNext/>
      <w:keepLines/>
      <w:widowControl/>
      <w:numPr>
        <w:ilvl w:val="3"/>
        <w:numId w:val="1"/>
      </w:numPr>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qFormat/>
    <w:uiPriority w:val="0"/>
    <w:pPr>
      <w:keepNext/>
      <w:keepLines/>
      <w:widowControl/>
      <w:numPr>
        <w:ilvl w:val="4"/>
        <w:numId w:val="1"/>
      </w:numPr>
      <w:adjustRightInd w:val="0"/>
      <w:spacing w:before="280" w:after="290" w:line="376" w:lineRule="atLeast"/>
      <w:textAlignment w:val="baseline"/>
      <w:outlineLvl w:val="4"/>
    </w:pPr>
    <w:rPr>
      <w:rFonts w:ascii="Times New Roman" w:eastAsia="仿宋_GB2312"/>
      <w:b/>
      <w:kern w:val="0"/>
      <w:sz w:val="28"/>
      <w:szCs w:val="20"/>
    </w:rPr>
  </w:style>
  <w:style w:type="paragraph" w:styleId="7">
    <w:name w:val="heading 6"/>
    <w:basedOn w:val="1"/>
    <w:next w:val="1"/>
    <w:qFormat/>
    <w:uiPriority w:val="0"/>
    <w:pPr>
      <w:keepNext/>
      <w:keepLines/>
      <w:widowControl/>
      <w:numPr>
        <w:ilvl w:val="5"/>
        <w:numId w:val="1"/>
      </w:numPr>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qFormat/>
    <w:uiPriority w:val="0"/>
    <w:pPr>
      <w:keepNext/>
      <w:keepLines/>
      <w:widowControl/>
      <w:numPr>
        <w:ilvl w:val="6"/>
        <w:numId w:val="1"/>
      </w:numPr>
      <w:adjustRightInd w:val="0"/>
      <w:spacing w:before="240" w:after="64" w:line="320" w:lineRule="atLeast"/>
      <w:textAlignment w:val="baseline"/>
      <w:outlineLvl w:val="6"/>
    </w:pPr>
    <w:rPr>
      <w:rFonts w:ascii="Times New Roman" w:eastAsia="仿宋_GB2312"/>
      <w:b/>
      <w:kern w:val="0"/>
      <w:sz w:val="24"/>
      <w:szCs w:val="20"/>
    </w:rPr>
  </w:style>
  <w:style w:type="paragraph" w:styleId="9">
    <w:name w:val="heading 8"/>
    <w:basedOn w:val="1"/>
    <w:next w:val="1"/>
    <w:qFormat/>
    <w:uiPriority w:val="0"/>
    <w:pPr>
      <w:keepNext/>
      <w:keepLines/>
      <w:widowControl/>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qFormat/>
    <w:uiPriority w:val="0"/>
    <w:pPr>
      <w:keepNext/>
      <w:keepLines/>
      <w:widowControl/>
      <w:numPr>
        <w:ilvl w:val="8"/>
        <w:numId w:val="1"/>
      </w:numPr>
      <w:adjustRightInd w:val="0"/>
      <w:spacing w:before="240" w:after="64" w:line="320" w:lineRule="atLeast"/>
      <w:textAlignment w:val="baseline"/>
      <w:outlineLvl w:val="8"/>
    </w:pPr>
    <w:rPr>
      <w:rFonts w:ascii="Arial" w:hAnsi="Arial" w:eastAsia="黑体"/>
      <w:kern w:val="0"/>
      <w:sz w:val="21"/>
      <w:szCs w:val="20"/>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rPr>
      <w:rFonts w:ascii="Times New Roman" w:eastAsia="仿宋_GB2312"/>
      <w:sz w:val="32"/>
    </w:rPr>
  </w:style>
  <w:style w:type="paragraph" w:styleId="12">
    <w:name w:val="Body Text"/>
    <w:basedOn w:val="1"/>
    <w:qFormat/>
    <w:uiPriority w:val="0"/>
    <w:pPr>
      <w:suppressAutoHyphens/>
      <w:spacing w:after="120"/>
      <w:ind w:firstLine="420"/>
    </w:pPr>
    <w:rPr>
      <w:rFonts w:ascii="Times New Roman"/>
      <w:kern w:val="1"/>
      <w:sz w:val="21"/>
      <w:szCs w:val="21"/>
      <w:lang w:eastAsia="ar-SA"/>
    </w:rPr>
  </w:style>
  <w:style w:type="paragraph" w:styleId="13">
    <w:name w:val="Body Text Indent"/>
    <w:basedOn w:val="1"/>
    <w:qFormat/>
    <w:uiPriority w:val="0"/>
    <w:pPr>
      <w:spacing w:after="120"/>
      <w:ind w:left="420"/>
    </w:pPr>
    <w:rPr>
      <w:rFonts w:ascii="Times New Roman" w:eastAsia="宋体"/>
      <w:sz w:val="21"/>
    </w:rPr>
  </w:style>
  <w:style w:type="paragraph" w:styleId="14">
    <w:name w:val="Date"/>
    <w:basedOn w:val="1"/>
    <w:next w:val="1"/>
    <w:qFormat/>
    <w:uiPriority w:val="0"/>
    <w:pPr>
      <w:ind w:left="100" w:leftChars="2500"/>
    </w:pPr>
    <w:rPr>
      <w:rFonts w:ascii="Times New Roman" w:eastAsia="宋体"/>
      <w:sz w:val="28"/>
      <w:szCs w:val="28"/>
    </w:rPr>
  </w:style>
  <w:style w:type="paragraph" w:styleId="15">
    <w:name w:val="Body Text Indent 2"/>
    <w:basedOn w:val="1"/>
    <w:qFormat/>
    <w:uiPriority w:val="0"/>
    <w:pPr>
      <w:suppressAutoHyphens/>
      <w:spacing w:after="120" w:line="480" w:lineRule="auto"/>
      <w:ind w:left="420"/>
    </w:pPr>
    <w:rPr>
      <w:rFonts w:ascii="Times New Roman" w:eastAsia="方正仿宋_GBK"/>
      <w:kern w:val="1"/>
      <w:sz w:val="32"/>
      <w:lang w:eastAsia="ar-SA"/>
    </w:rPr>
  </w:style>
  <w:style w:type="paragraph" w:styleId="16">
    <w:name w:val="footer"/>
    <w:basedOn w:val="1"/>
    <w:qFormat/>
    <w:uiPriority w:val="0"/>
    <w:pPr>
      <w:tabs>
        <w:tab w:val="center" w:leader="hyphen" w:pos="4153"/>
        <w:tab w:val="right" w:pos="8306"/>
      </w:tabs>
      <w:snapToGrid w:val="0"/>
      <w:jc w:val="right"/>
    </w:pPr>
    <w:rPr>
      <w:rFonts w:ascii="Times New Roman" w:eastAsia="仿宋_GB2312"/>
      <w:sz w:val="28"/>
      <w:szCs w:val="18"/>
    </w:rPr>
  </w:style>
  <w:style w:type="paragraph" w:styleId="1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character" w:styleId="20">
    <w:name w:val="page number"/>
    <w:basedOn w:val="19"/>
    <w:qFormat/>
    <w:uiPriority w:val="0"/>
    <w:rPr>
      <w:rFonts w:ascii="Times New Roman" w:hAnsi="Times New Roman" w:eastAsia="仿宋_GB2312"/>
      <w:sz w:val="28"/>
      <w:lang w:eastAsia="zh-CN"/>
    </w:rPr>
  </w:style>
  <w:style w:type="character" w:customStyle="1" w:styleId="21">
    <w:name w:val="页眉 Char"/>
    <w:basedOn w:val="19"/>
    <w:link w:val="17"/>
    <w:qFormat/>
    <w:uiPriority w:val="0"/>
    <w:rPr>
      <w:rFonts w:ascii="华康简仿宋" w:eastAsia="华康简仿宋"/>
      <w:kern w:val="2"/>
      <w:sz w:val="18"/>
      <w:szCs w:val="18"/>
    </w:rPr>
  </w:style>
  <w:style w:type="character" w:customStyle="1" w:styleId="22">
    <w:name w:val="抄送"/>
    <w:basedOn w:val="19"/>
    <w:qFormat/>
    <w:uiPriority w:val="0"/>
    <w:rPr>
      <w:rFonts w:eastAsia="仿宋_GB2312"/>
      <w:sz w:val="31"/>
    </w:rPr>
  </w:style>
  <w:style w:type="paragraph" w:customStyle="1" w:styleId="23">
    <w:name w:val="正文缩进1"/>
    <w:basedOn w:val="1"/>
    <w:qFormat/>
    <w:uiPriority w:val="0"/>
    <w:pPr>
      <w:suppressAutoHyphens/>
      <w:ind w:firstLine="420"/>
    </w:pPr>
    <w:rPr>
      <w:rFonts w:ascii="Times New Roman" w:eastAsia="仿宋_GB2312"/>
      <w:kern w:val="1"/>
      <w:sz w:val="32"/>
      <w:lang w:eastAsia="ar-SA"/>
    </w:rPr>
  </w:style>
  <w:style w:type="paragraph" w:customStyle="1" w:styleId="24">
    <w:name w:val="正文文本缩进 21"/>
    <w:basedOn w:val="1"/>
    <w:qFormat/>
    <w:uiPriority w:val="0"/>
    <w:pPr>
      <w:ind w:firstLine="620" w:firstLineChars="200"/>
    </w:pPr>
    <w:rPr>
      <w:rFonts w:ascii="仿宋_GB2312" w:eastAsia="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ut</Company>
  <Pages>3</Pages>
  <Words>194</Words>
  <Characters>1109</Characters>
  <Lines>9</Lines>
  <Paragraphs>2</Paragraphs>
  <TotalTime>0</TotalTime>
  <ScaleCrop>false</ScaleCrop>
  <LinksUpToDate>false</LinksUpToDate>
  <CharactersWithSpaces>1301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2019-10-24T10:04:00Z</dcterms:created>
  <dc:creator>gt</dc:creator>
  <cp:lastModifiedBy>Administrator</cp:lastModifiedBy>
  <cp:lastPrinted>2022-10-26T02:18:00Z</cp:lastPrinted>
  <dcterms:modified xsi:type="dcterms:W3CDTF">2024-04-08T09:11:39Z</dcterms:modified>
  <dc:title>东莞市交通局</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33D47114FDBA493D83574773101971E9</vt:lpwstr>
  </property>
</Properties>
</file>