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27137F">
      <w:pPr>
        <w:pStyle w:val="15"/>
        <w:ind w:firstLine="272" w:firstLineChars="62"/>
        <w:jc w:val="center"/>
        <w:rPr>
          <w:rFonts w:hint="default" w:ascii="Times New Roman" w:hAnsi="Times New Roman" w:cs="Times New Roman"/>
        </w:rPr>
      </w:pPr>
      <w:r>
        <w:rPr>
          <w:rFonts w:hint="eastAsia" w:eastAsia="方正小标宋简体" w:cs="Times New Roman"/>
          <w:sz w:val="44"/>
          <w:szCs w:val="44"/>
          <w:lang w:val="en-US" w:eastAsia="zh-CN"/>
        </w:rPr>
        <w:t xml:space="preserve"> </w:t>
      </w:r>
      <w:r>
        <w:rPr>
          <w:rFonts w:hint="default" w:ascii="Times New Roman" w:hAnsi="Times New Roman" w:eastAsia="方正小标宋简体" w:cs="Times New Roman"/>
          <w:sz w:val="44"/>
          <w:szCs w:val="44"/>
        </w:rPr>
        <w:t>2026年东莞市交通拥堵治理及治理效果评估项目采购需求书</w:t>
      </w:r>
    </w:p>
    <w:p w14:paraId="2EF3C584">
      <w:pPr>
        <w:pStyle w:val="15"/>
        <w:ind w:firstLine="198" w:firstLineChars="62"/>
        <w:jc w:val="center"/>
        <w:rPr>
          <w:rFonts w:hint="default" w:ascii="Times New Roman" w:hAnsi="Times New Roman" w:cs="Times New Roman"/>
        </w:rPr>
      </w:pPr>
      <w:bookmarkStart w:id="0" w:name="_GoBack"/>
      <w:bookmarkEnd w:id="0"/>
    </w:p>
    <w:p w14:paraId="30F83D3B">
      <w:pPr>
        <w:pStyle w:val="15"/>
        <w:ind w:firstLine="198" w:firstLineChars="62"/>
        <w:jc w:val="center"/>
        <w:rPr>
          <w:rFonts w:hint="default" w:ascii="Times New Roman" w:hAnsi="Times New Roman" w:cs="Times New Roman"/>
          <w:szCs w:val="32"/>
        </w:rPr>
      </w:pPr>
    </w:p>
    <w:p w14:paraId="07A73D5A">
      <w:pPr>
        <w:pStyle w:val="15"/>
        <w:spacing w:line="520" w:lineRule="exact"/>
        <w:ind w:firstLine="0" w:firstLineChars="0"/>
        <w:jc w:val="center"/>
        <w:rPr>
          <w:rFonts w:hint="default" w:ascii="Times New Roman" w:hAnsi="Times New Roman" w:eastAsia="黑体" w:cs="Times New Roman"/>
          <w:color w:val="000000"/>
          <w:kern w:val="0"/>
          <w:szCs w:val="32"/>
        </w:rPr>
      </w:pPr>
      <w:r>
        <w:rPr>
          <w:rFonts w:hint="default" w:ascii="Times New Roman" w:hAnsi="Times New Roman" w:eastAsia="黑体" w:cs="Times New Roman"/>
          <w:color w:val="000000"/>
          <w:kern w:val="0"/>
          <w:szCs w:val="32"/>
        </w:rPr>
        <w:t>第一部分 项目基本情况</w:t>
      </w:r>
    </w:p>
    <w:p w14:paraId="1A5C825F">
      <w:pPr>
        <w:spacing w:line="520" w:lineRule="exact"/>
        <w:ind w:firstLine="640" w:firstLineChars="200"/>
        <w:rPr>
          <w:rFonts w:hint="default" w:ascii="Times New Roman" w:hAnsi="Times New Roman" w:eastAsia="黑体" w:cs="Times New Roman"/>
          <w:color w:val="000000"/>
          <w:kern w:val="0"/>
        </w:rPr>
      </w:pPr>
      <w:r>
        <w:rPr>
          <w:rFonts w:hint="default" w:ascii="Times New Roman" w:hAnsi="Times New Roman" w:eastAsia="黑体" w:cs="Times New Roman"/>
          <w:color w:val="000000"/>
          <w:kern w:val="0"/>
        </w:rPr>
        <w:t>一、采购人名称</w:t>
      </w:r>
    </w:p>
    <w:p w14:paraId="1CDF18CD">
      <w:pPr>
        <w:pStyle w:val="15"/>
        <w:spacing w:line="520" w:lineRule="exact"/>
        <w:ind w:firstLine="64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东莞市交通运输局</w:t>
      </w:r>
    </w:p>
    <w:p w14:paraId="1C21327E">
      <w:pPr>
        <w:pStyle w:val="15"/>
        <w:spacing w:line="520" w:lineRule="exact"/>
        <w:ind w:firstLine="640"/>
        <w:rPr>
          <w:rFonts w:hint="default" w:ascii="Times New Roman" w:hAnsi="Times New Roman" w:cs="Times New Roman"/>
        </w:rPr>
      </w:pPr>
      <w:r>
        <w:rPr>
          <w:rFonts w:hint="default" w:ascii="Times New Roman" w:hAnsi="Times New Roman" w:eastAsia="黑体" w:cs="Times New Roman"/>
          <w:szCs w:val="32"/>
        </w:rPr>
        <w:t>二、采购项目名称</w:t>
      </w:r>
    </w:p>
    <w:p w14:paraId="38D8F724">
      <w:pPr>
        <w:ind w:firstLine="640" w:firstLineChars="200"/>
        <w:rPr>
          <w:rFonts w:hint="default" w:ascii="Times New Roman" w:hAnsi="Times New Roman" w:eastAsia="仿宋_GB2312" w:cs="Times New Roman"/>
          <w:lang w:eastAsia="zh-CN"/>
        </w:rPr>
      </w:pPr>
      <w:r>
        <w:rPr>
          <w:rFonts w:hint="default" w:ascii="Times New Roman" w:hAnsi="Times New Roman" w:cs="Times New Roman"/>
        </w:rPr>
        <w:t>2026年东莞市交通拥堵治理及治理效果评估</w:t>
      </w:r>
    </w:p>
    <w:p w14:paraId="4752A71F">
      <w:pPr>
        <w:pStyle w:val="16"/>
        <w:ind w:firstLine="640"/>
        <w:rPr>
          <w:rFonts w:hint="default" w:ascii="Times New Roman" w:hAnsi="Times New Roman" w:eastAsia="楷体_GB2312" w:cs="Times New Roman"/>
        </w:rPr>
      </w:pPr>
      <w:r>
        <w:rPr>
          <w:rFonts w:hint="default" w:ascii="Times New Roman" w:hAnsi="Times New Roman" w:eastAsia="黑体" w:cs="Times New Roman"/>
          <w:bCs/>
        </w:rPr>
        <w:t>三、项目概况</w:t>
      </w:r>
    </w:p>
    <w:p w14:paraId="2C429C36">
      <w:pPr>
        <w:ind w:firstLine="640" w:firstLineChars="200"/>
        <w:rPr>
          <w:rFonts w:hint="default" w:ascii="Times New Roman" w:hAnsi="Times New Roman" w:cs="Times New Roman"/>
        </w:rPr>
      </w:pPr>
      <w:r>
        <w:rPr>
          <w:rFonts w:hint="default" w:ascii="Times New Roman" w:hAnsi="Times New Roman" w:cs="Times New Roman"/>
        </w:rPr>
        <w:t>交通拥堵综合治理是一项长期性、复杂性、综合性的系统工程，且涉及面广、敏感度高、专业性强。为系统推进全市交通拥堵节点治理工作，巩固前期交通治理成效，迫切需要开展2026年交通拥堵治理及治理效果评估研究工作，并引入熟悉我市交通拥堵现状、具有丰富拥堵治理经验的第三方研究机构提供专业技术支撑服务，以此保障治理措施的科学性、可行性及成果落地的实效性。</w:t>
      </w:r>
    </w:p>
    <w:p w14:paraId="4B2EE633">
      <w:pPr>
        <w:pStyle w:val="15"/>
        <w:spacing w:line="520" w:lineRule="exact"/>
        <w:ind w:firstLine="0" w:firstLineChars="0"/>
        <w:rPr>
          <w:rFonts w:hint="default" w:ascii="Times New Roman" w:hAnsi="Times New Roman" w:cs="Times New Roman"/>
        </w:rPr>
      </w:pPr>
    </w:p>
    <w:p w14:paraId="3EB35498">
      <w:pPr>
        <w:pStyle w:val="15"/>
        <w:spacing w:line="520" w:lineRule="exact"/>
        <w:ind w:firstLine="0" w:firstLineChars="0"/>
        <w:jc w:val="center"/>
        <w:rPr>
          <w:rFonts w:hint="default" w:ascii="Times New Roman" w:hAnsi="Times New Roman" w:cs="Times New Roman"/>
          <w:b/>
          <w:bCs/>
        </w:rPr>
      </w:pPr>
      <w:r>
        <w:rPr>
          <w:rFonts w:hint="default" w:ascii="Times New Roman" w:hAnsi="Times New Roman" w:eastAsia="黑体" w:cs="Times New Roman"/>
          <w:szCs w:val="32"/>
        </w:rPr>
        <w:t>第二部分 采购需求</w:t>
      </w:r>
    </w:p>
    <w:p w14:paraId="24C188EC">
      <w:pPr>
        <w:spacing w:line="520" w:lineRule="exact"/>
        <w:ind w:firstLine="640" w:firstLineChars="200"/>
        <w:rPr>
          <w:rFonts w:hint="default" w:ascii="Times New Roman" w:hAnsi="Times New Roman" w:eastAsia="黑体" w:cs="Times New Roman"/>
        </w:rPr>
      </w:pPr>
      <w:r>
        <w:rPr>
          <w:rFonts w:hint="default" w:ascii="Times New Roman" w:hAnsi="Times New Roman" w:eastAsia="黑体" w:cs="Times New Roman"/>
        </w:rPr>
        <w:t>一、服务总体要求</w:t>
      </w:r>
    </w:p>
    <w:p w14:paraId="46C73E1A">
      <w:pPr>
        <w:pStyle w:val="16"/>
        <w:ind w:firstLine="640"/>
        <w:rPr>
          <w:rFonts w:hint="eastAsia" w:cs="Times New Roman"/>
          <w:lang w:val="en-US" w:eastAsia="zh-CN"/>
        </w:rPr>
      </w:pPr>
      <w:r>
        <w:rPr>
          <w:rFonts w:hint="default" w:ascii="Times New Roman" w:hAnsi="Times New Roman" w:cs="Times New Roman"/>
        </w:rPr>
        <w:t>为加强交通拥堵治理，系统推进节点交通疏解工作，</w:t>
      </w:r>
      <w:r>
        <w:rPr>
          <w:rFonts w:hint="eastAsia" w:cs="Times New Roman"/>
          <w:lang w:eastAsia="zh-CN"/>
        </w:rPr>
        <w:t>推动</w:t>
      </w:r>
      <w:r>
        <w:rPr>
          <w:rFonts w:hint="default" w:ascii="Times New Roman" w:hAnsi="Times New Roman" w:cs="Times New Roman"/>
        </w:rPr>
        <w:t>《2026年东莞市交通拥堵治理及治理效果评估》项目研究工作，主要研究内容</w:t>
      </w:r>
      <w:r>
        <w:rPr>
          <w:rFonts w:hint="eastAsia" w:cs="Times New Roman"/>
          <w:lang w:eastAsia="zh-CN"/>
        </w:rPr>
        <w:t>包括</w:t>
      </w:r>
      <w:r>
        <w:rPr>
          <w:rFonts w:hint="default" w:ascii="Times New Roman" w:hAnsi="Times New Roman" w:cs="Times New Roman"/>
        </w:rPr>
        <w:t>：一是现状情况分析，针对道路设施及运行状况开展实地调研，对拥堵</w:t>
      </w:r>
      <w:r>
        <w:rPr>
          <w:rFonts w:hint="eastAsia" w:cs="Times New Roman"/>
          <w:lang w:eastAsia="zh-CN"/>
        </w:rPr>
        <w:t>路口</w:t>
      </w:r>
      <w:r>
        <w:rPr>
          <w:rFonts w:hint="default" w:ascii="Times New Roman" w:hAnsi="Times New Roman" w:cs="Times New Roman"/>
        </w:rPr>
        <w:t>、路段、区域</w:t>
      </w:r>
      <w:r>
        <w:rPr>
          <w:rFonts w:hint="eastAsia" w:cs="Times New Roman"/>
          <w:lang w:eastAsia="zh-CN"/>
        </w:rPr>
        <w:t>等</w:t>
      </w:r>
      <w:r>
        <w:rPr>
          <w:rFonts w:hint="default" w:ascii="Times New Roman" w:hAnsi="Times New Roman" w:cs="Times New Roman"/>
        </w:rPr>
        <w:t>进行梳理排查，分类总结特点及成因。二是明确交通拥堵治理总体目标，结合实际情况制定系统性治理策略。三是聚焦到明确本年度急需治理的拥堵片区</w:t>
      </w:r>
      <w:r>
        <w:rPr>
          <w:rStyle w:val="14"/>
          <w:rFonts w:hint="default" w:ascii="Times New Roman" w:hAnsi="Times New Roman" w:cs="Times New Roman"/>
        </w:rPr>
        <w:footnoteReference w:id="0"/>
      </w:r>
      <w:r>
        <w:rPr>
          <w:rFonts w:hint="default" w:ascii="Times New Roman" w:hAnsi="Times New Roman" w:cs="Times New Roman"/>
        </w:rPr>
        <w:t>和</w:t>
      </w:r>
      <w:r>
        <w:rPr>
          <w:rFonts w:hint="eastAsia" w:cs="Times New Roman"/>
          <w:lang w:eastAsia="zh-CN"/>
        </w:rPr>
        <w:t>路口</w:t>
      </w:r>
      <w:r>
        <w:rPr>
          <w:rStyle w:val="14"/>
          <w:rFonts w:hint="eastAsia" w:cs="Times New Roman"/>
          <w:lang w:eastAsia="zh-CN"/>
        </w:rPr>
        <w:footnoteReference w:id="1"/>
      </w:r>
      <w:r>
        <w:rPr>
          <w:rFonts w:hint="default" w:ascii="Times New Roman" w:hAnsi="Times New Roman" w:cs="Times New Roman"/>
        </w:rPr>
        <w:t>（2个片区和30个路口），细化制定可落地的详细改善方案。四是实施效果评估，通过科学评估及时调整优化治理举措，形成治理、评估、优化的闭环管理体系，持续提升交通拥堵治理成效。</w:t>
      </w:r>
      <w:r>
        <w:rPr>
          <w:rFonts w:hint="eastAsia" w:cs="Times New Roman"/>
          <w:lang w:val="en-US" w:eastAsia="zh-CN"/>
        </w:rPr>
        <w:t xml:space="preserve">  </w:t>
      </w:r>
    </w:p>
    <w:p w14:paraId="55DA6658">
      <w:pPr>
        <w:pStyle w:val="16"/>
        <w:ind w:firstLine="640"/>
        <w:rPr>
          <w:rFonts w:hint="default" w:ascii="Times New Roman" w:hAnsi="Times New Roman" w:eastAsia="黑体" w:cs="Times New Roman"/>
          <w:bCs/>
          <w:highlight w:val="none"/>
        </w:rPr>
      </w:pPr>
      <w:r>
        <w:rPr>
          <w:rFonts w:hint="default" w:ascii="Times New Roman" w:hAnsi="Times New Roman" w:eastAsia="黑体" w:cs="Times New Roman"/>
          <w:bCs/>
          <w:highlight w:val="none"/>
        </w:rPr>
        <w:t>二、</w:t>
      </w:r>
      <w:r>
        <w:rPr>
          <w:rFonts w:hint="eastAsia" w:eastAsia="黑体" w:cs="Times New Roman"/>
          <w:bCs/>
          <w:highlight w:val="none"/>
          <w:lang w:eastAsia="zh-CN"/>
        </w:rPr>
        <w:t>成果</w:t>
      </w:r>
      <w:r>
        <w:rPr>
          <w:rFonts w:hint="default" w:ascii="Times New Roman" w:hAnsi="Times New Roman" w:eastAsia="黑体" w:cs="Times New Roman"/>
          <w:bCs/>
          <w:highlight w:val="none"/>
        </w:rPr>
        <w:t>要求</w:t>
      </w:r>
    </w:p>
    <w:p w14:paraId="3F173618">
      <w:pPr>
        <w:pStyle w:val="16"/>
        <w:ind w:firstLine="640"/>
        <w:rPr>
          <w:rFonts w:hint="default" w:ascii="Times New Roman" w:hAnsi="Times New Roman" w:cs="Times New Roman"/>
          <w:highlight w:val="none"/>
        </w:rPr>
      </w:pPr>
      <w:r>
        <w:rPr>
          <w:rFonts w:hint="eastAsia" w:cs="Times New Roman"/>
          <w:highlight w:val="none"/>
          <w:lang w:eastAsia="zh-CN"/>
        </w:rPr>
        <w:t>（一）</w:t>
      </w:r>
      <w:r>
        <w:rPr>
          <w:rFonts w:hint="default" w:ascii="Times New Roman" w:hAnsi="Times New Roman" w:cs="Times New Roman"/>
          <w:highlight w:val="none"/>
        </w:rPr>
        <w:t>本项目从开展至提交最终成果，</w:t>
      </w:r>
      <w:r>
        <w:rPr>
          <w:rFonts w:hint="eastAsia" w:cs="Times New Roman"/>
          <w:highlight w:val="none"/>
          <w:lang w:eastAsia="zh-CN"/>
        </w:rPr>
        <w:t>对服务商</w:t>
      </w:r>
      <w:r>
        <w:rPr>
          <w:rFonts w:hint="default" w:ascii="Times New Roman" w:hAnsi="Times New Roman" w:cs="Times New Roman"/>
          <w:highlight w:val="none"/>
        </w:rPr>
        <w:t>工作进度</w:t>
      </w:r>
      <w:r>
        <w:rPr>
          <w:rFonts w:hint="eastAsia" w:cs="Times New Roman"/>
          <w:highlight w:val="none"/>
          <w:lang w:eastAsia="zh-CN"/>
        </w:rPr>
        <w:t>要求</w:t>
      </w:r>
      <w:r>
        <w:rPr>
          <w:rFonts w:hint="default" w:ascii="Times New Roman" w:hAnsi="Times New Roman" w:cs="Times New Roman"/>
          <w:highlight w:val="none"/>
        </w:rPr>
        <w:t>如下：</w:t>
      </w:r>
    </w:p>
    <w:p w14:paraId="5A215C56">
      <w:pPr>
        <w:pStyle w:val="16"/>
        <w:numPr>
          <w:ilvl w:val="0"/>
          <w:numId w:val="0"/>
        </w:numPr>
        <w:ind w:firstLine="640" w:firstLineChars="200"/>
        <w:rPr>
          <w:rFonts w:hint="eastAsia"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1</w:t>
      </w:r>
      <w:r>
        <w:rPr>
          <w:rFonts w:hint="eastAsia" w:cs="Times New Roman"/>
          <w:kern w:val="2"/>
          <w:sz w:val="32"/>
          <w:szCs w:val="32"/>
          <w:highlight w:val="none"/>
          <w:lang w:val="en-US" w:eastAsia="zh-CN" w:bidi="ar-SA"/>
        </w:rPr>
        <w:t>、</w:t>
      </w:r>
      <w:r>
        <w:rPr>
          <w:rFonts w:hint="eastAsia" w:ascii="Times New Roman" w:hAnsi="Times New Roman" w:eastAsia="仿宋_GB2312" w:cs="Times New Roman"/>
          <w:kern w:val="2"/>
          <w:sz w:val="32"/>
          <w:szCs w:val="32"/>
          <w:highlight w:val="none"/>
          <w:lang w:val="en-US" w:eastAsia="zh-CN" w:bidi="ar-SA"/>
        </w:rPr>
        <w:t>在签定合同后1个月内</w:t>
      </w:r>
      <w:r>
        <w:rPr>
          <w:rFonts w:hint="eastAsia" w:cs="Times New Roman"/>
          <w:kern w:val="2"/>
          <w:sz w:val="32"/>
          <w:szCs w:val="32"/>
          <w:highlight w:val="none"/>
          <w:lang w:val="en-US" w:eastAsia="zh-CN" w:bidi="ar-SA"/>
        </w:rPr>
        <w:t>，根据采购人要求，选取2个片区和30个路口作为研究对象，开展基础资料收集及调研等前期工作，形成初步工作思路，向采购人进行开题报告汇报。</w:t>
      </w:r>
    </w:p>
    <w:p w14:paraId="24D8D906">
      <w:pPr>
        <w:pStyle w:val="16"/>
        <w:numPr>
          <w:ilvl w:val="0"/>
          <w:numId w:val="0"/>
        </w:numPr>
        <w:ind w:firstLine="640" w:firstLineChars="200"/>
        <w:rPr>
          <w:rFonts w:hint="eastAsia" w:ascii="Times New Roman" w:hAnsi="Times New Roman" w:cs="Times New Roman"/>
          <w:kern w:val="2"/>
          <w:sz w:val="32"/>
          <w:szCs w:val="32"/>
          <w:highlight w:val="none"/>
          <w:lang w:val="en-US" w:eastAsia="zh-CN" w:bidi="ar-SA"/>
        </w:rPr>
      </w:pPr>
      <w:r>
        <w:rPr>
          <w:rFonts w:hint="eastAsia" w:ascii="Times New Roman" w:hAnsi="Times New Roman" w:cs="Times New Roman"/>
          <w:kern w:val="2"/>
          <w:sz w:val="32"/>
          <w:szCs w:val="32"/>
          <w:highlight w:val="none"/>
          <w:lang w:val="en-US" w:eastAsia="zh-CN" w:bidi="ar-SA"/>
        </w:rPr>
        <w:t>2、</w:t>
      </w:r>
      <w:r>
        <w:rPr>
          <w:rFonts w:hint="default" w:ascii="Times New Roman" w:hAnsi="Times New Roman" w:cs="Times New Roman"/>
          <w:kern w:val="2"/>
          <w:sz w:val="32"/>
          <w:szCs w:val="32"/>
          <w:highlight w:val="none"/>
          <w:lang w:val="en-US" w:eastAsia="zh-CN" w:bidi="ar-SA"/>
        </w:rPr>
        <w:t>在签定合同后3个月内</w:t>
      </w:r>
      <w:r>
        <w:rPr>
          <w:rFonts w:hint="eastAsia" w:ascii="Times New Roman" w:hAnsi="Times New Roman" w:cs="Times New Roman"/>
          <w:kern w:val="2"/>
          <w:sz w:val="32"/>
          <w:szCs w:val="32"/>
          <w:highlight w:val="none"/>
          <w:lang w:val="en-US" w:eastAsia="zh-CN" w:bidi="ar-SA"/>
        </w:rPr>
        <w:t>，提交初步成果，中标服务商须根据采购人修改意见认真总结、修改、补充、完善初步成果。</w:t>
      </w:r>
    </w:p>
    <w:p w14:paraId="48274CE4">
      <w:pPr>
        <w:pStyle w:val="16"/>
        <w:numPr>
          <w:ilvl w:val="0"/>
          <w:numId w:val="0"/>
        </w:numPr>
        <w:ind w:firstLine="640" w:firstLineChars="200"/>
        <w:rPr>
          <w:rFonts w:hint="eastAsia" w:ascii="Times New Roman" w:hAnsi="Times New Roman" w:cs="Times New Roman"/>
          <w:kern w:val="2"/>
          <w:sz w:val="32"/>
          <w:szCs w:val="32"/>
          <w:highlight w:val="none"/>
          <w:lang w:val="en-US" w:eastAsia="zh-CN" w:bidi="ar-SA"/>
        </w:rPr>
      </w:pPr>
      <w:r>
        <w:rPr>
          <w:rFonts w:hint="eastAsia" w:ascii="Times New Roman" w:hAnsi="Times New Roman" w:cs="Times New Roman"/>
          <w:kern w:val="2"/>
          <w:sz w:val="32"/>
          <w:szCs w:val="32"/>
          <w:highlight w:val="none"/>
          <w:lang w:val="en-US" w:eastAsia="zh-CN" w:bidi="ar-SA"/>
        </w:rPr>
        <w:t>3、在确认初步成果后2个月内，提交中期成果，征求各相关部门的意见，并</w:t>
      </w:r>
      <w:r>
        <w:rPr>
          <w:rFonts w:hint="eastAsia" w:cs="Times New Roman"/>
          <w:kern w:val="2"/>
          <w:sz w:val="32"/>
          <w:szCs w:val="32"/>
          <w:highlight w:val="none"/>
          <w:lang w:val="en-US" w:eastAsia="zh-CN" w:bidi="ar-SA"/>
        </w:rPr>
        <w:t>根据</w:t>
      </w:r>
      <w:r>
        <w:rPr>
          <w:rFonts w:hint="eastAsia" w:ascii="Times New Roman" w:hAnsi="Times New Roman" w:cs="Times New Roman"/>
          <w:kern w:val="2"/>
          <w:sz w:val="32"/>
          <w:szCs w:val="32"/>
          <w:highlight w:val="none"/>
          <w:lang w:val="en-US" w:eastAsia="zh-CN" w:bidi="ar-SA"/>
        </w:rPr>
        <w:t>意见对治理方案成果进行补充、修改和完善。</w:t>
      </w:r>
    </w:p>
    <w:p w14:paraId="6AC087FB">
      <w:pPr>
        <w:pStyle w:val="16"/>
        <w:numPr>
          <w:ilvl w:val="0"/>
          <w:numId w:val="0"/>
        </w:numPr>
        <w:ind w:firstLine="640" w:firstLineChars="200"/>
        <w:rPr>
          <w:rFonts w:hint="eastAsia" w:cs="Times New Roman"/>
          <w:kern w:val="2"/>
          <w:sz w:val="32"/>
          <w:szCs w:val="32"/>
          <w:highlight w:val="none"/>
          <w:lang w:val="en-US" w:eastAsia="zh-CN" w:bidi="ar-SA"/>
        </w:rPr>
      </w:pPr>
      <w:r>
        <w:rPr>
          <w:rFonts w:hint="eastAsia" w:ascii="Times New Roman" w:hAnsi="Times New Roman" w:cs="Times New Roman"/>
          <w:kern w:val="2"/>
          <w:sz w:val="32"/>
          <w:szCs w:val="32"/>
          <w:highlight w:val="none"/>
          <w:lang w:val="en-US" w:eastAsia="zh-CN" w:bidi="ar-SA"/>
        </w:rPr>
        <w:t>4、确认中期成果后2个月内，提交评审版</w:t>
      </w:r>
      <w:r>
        <w:rPr>
          <w:rFonts w:hint="eastAsia" w:cs="Times New Roman"/>
          <w:kern w:val="2"/>
          <w:sz w:val="32"/>
          <w:szCs w:val="32"/>
          <w:highlight w:val="none"/>
          <w:lang w:val="en-US" w:eastAsia="zh-CN" w:bidi="ar-SA"/>
        </w:rPr>
        <w:t>治理方案</w:t>
      </w:r>
      <w:r>
        <w:rPr>
          <w:rFonts w:hint="eastAsia" w:ascii="Times New Roman" w:hAnsi="Times New Roman" w:cs="Times New Roman"/>
          <w:kern w:val="2"/>
          <w:sz w:val="32"/>
          <w:szCs w:val="32"/>
          <w:highlight w:val="none"/>
          <w:lang w:val="en-US" w:eastAsia="zh-CN" w:bidi="ar-SA"/>
        </w:rPr>
        <w:t>成果，开展专家评审，协助采购人开展并通过项目技术审查，并根据审查意见进行修改完善</w:t>
      </w:r>
      <w:r>
        <w:rPr>
          <w:rFonts w:hint="eastAsia" w:cs="Times New Roman"/>
          <w:kern w:val="2"/>
          <w:sz w:val="32"/>
          <w:szCs w:val="32"/>
          <w:highlight w:val="none"/>
          <w:lang w:val="en-US" w:eastAsia="zh-CN" w:bidi="ar-SA"/>
        </w:rPr>
        <w:t>。</w:t>
      </w:r>
    </w:p>
    <w:p w14:paraId="381F383B">
      <w:pPr>
        <w:pStyle w:val="16"/>
        <w:numPr>
          <w:ilvl w:val="0"/>
          <w:numId w:val="0"/>
        </w:numPr>
        <w:ind w:firstLine="640" w:firstLineChars="200"/>
        <w:rPr>
          <w:rFonts w:hint="default" w:ascii="Times New Roman" w:hAnsi="Times New Roman" w:cs="Times New Roman"/>
          <w:kern w:val="2"/>
          <w:sz w:val="32"/>
          <w:szCs w:val="32"/>
          <w:highlight w:val="none"/>
          <w:lang w:val="en-US" w:eastAsia="zh-CN" w:bidi="ar-SA"/>
        </w:rPr>
      </w:pPr>
      <w:r>
        <w:rPr>
          <w:rFonts w:hint="eastAsia" w:cs="Times New Roman"/>
          <w:kern w:val="2"/>
          <w:sz w:val="32"/>
          <w:szCs w:val="32"/>
          <w:highlight w:val="none"/>
          <w:lang w:val="en-US" w:eastAsia="zh-CN" w:bidi="ar-SA"/>
        </w:rPr>
        <w:t>5、2027年年底前按合同要求提交终期成果并经</w:t>
      </w:r>
      <w:r>
        <w:rPr>
          <w:rFonts w:hint="eastAsia" w:ascii="Times New Roman" w:hAnsi="Times New Roman" w:cs="Times New Roman"/>
          <w:kern w:val="2"/>
          <w:sz w:val="32"/>
          <w:szCs w:val="32"/>
          <w:highlight w:val="none"/>
          <w:lang w:val="en-US" w:eastAsia="zh-CN" w:bidi="ar-SA"/>
        </w:rPr>
        <w:t>采购人审查验收</w:t>
      </w:r>
      <w:r>
        <w:rPr>
          <w:rFonts w:hint="eastAsia" w:cs="Times New Roman"/>
          <w:kern w:val="2"/>
          <w:sz w:val="32"/>
          <w:szCs w:val="32"/>
          <w:highlight w:val="none"/>
          <w:lang w:val="en-US" w:eastAsia="zh-CN" w:bidi="ar-SA"/>
        </w:rPr>
        <w:t>。</w:t>
      </w:r>
    </w:p>
    <w:p w14:paraId="50FD2A96">
      <w:pPr>
        <w:pStyle w:val="16"/>
        <w:numPr>
          <w:ilvl w:val="0"/>
          <w:numId w:val="0"/>
        </w:numPr>
        <w:ind w:firstLine="640" w:firstLineChars="200"/>
        <w:rPr>
          <w:rFonts w:hint="eastAsia" w:ascii="Times New Roman" w:hAnsi="Times New Roman" w:cs="Times New Roman"/>
          <w:kern w:val="2"/>
          <w:sz w:val="32"/>
          <w:szCs w:val="32"/>
          <w:highlight w:val="none"/>
          <w:lang w:val="en-US" w:eastAsia="zh-CN" w:bidi="ar-SA"/>
        </w:rPr>
      </w:pPr>
      <w:r>
        <w:rPr>
          <w:rFonts w:hint="eastAsia" w:ascii="Times New Roman" w:hAnsi="Times New Roman" w:cs="Times New Roman"/>
          <w:kern w:val="2"/>
          <w:sz w:val="32"/>
          <w:szCs w:val="32"/>
          <w:highlight w:val="none"/>
          <w:lang w:val="en-US" w:eastAsia="zh-CN" w:bidi="ar-SA"/>
        </w:rPr>
        <w:t>（二）成果提交要求如下：</w:t>
      </w:r>
    </w:p>
    <w:p w14:paraId="7DFA283C">
      <w:pPr>
        <w:pStyle w:val="16"/>
        <w:numPr>
          <w:ilvl w:val="0"/>
          <w:numId w:val="0"/>
        </w:numPr>
        <w:ind w:firstLine="640" w:firstLineChars="200"/>
        <w:rPr>
          <w:rFonts w:hint="eastAsia" w:ascii="Times New Roman" w:hAnsi="Times New Roman" w:cs="Times New Roman"/>
          <w:kern w:val="2"/>
          <w:sz w:val="32"/>
          <w:szCs w:val="32"/>
          <w:highlight w:val="none"/>
          <w:lang w:val="en-US" w:eastAsia="zh-CN" w:bidi="ar-SA"/>
        </w:rPr>
      </w:pPr>
      <w:r>
        <w:rPr>
          <w:rFonts w:hint="eastAsia" w:ascii="Times New Roman" w:hAnsi="Times New Roman" w:cs="Times New Roman"/>
          <w:kern w:val="2"/>
          <w:sz w:val="32"/>
          <w:szCs w:val="32"/>
          <w:highlight w:val="none"/>
          <w:lang w:val="en-US" w:eastAsia="zh-CN" w:bidi="ar-SA"/>
        </w:rPr>
        <w:t>1、成果的内容必须符合本项目招标文件的有关要求和国家有关标准规范，满足交通拥堵治理及治理效果评估工作需要。</w:t>
      </w:r>
    </w:p>
    <w:p w14:paraId="3FE27AB4">
      <w:pPr>
        <w:pStyle w:val="16"/>
        <w:numPr>
          <w:ilvl w:val="0"/>
          <w:numId w:val="0"/>
        </w:numPr>
        <w:ind w:firstLine="640" w:firstLineChars="200"/>
        <w:rPr>
          <w:rFonts w:hint="eastAsia" w:ascii="Times New Roman" w:hAnsi="Times New Roman" w:cs="Times New Roman"/>
          <w:kern w:val="2"/>
          <w:sz w:val="32"/>
          <w:szCs w:val="32"/>
          <w:highlight w:val="none"/>
          <w:lang w:val="en-US" w:eastAsia="zh-CN" w:bidi="ar-SA"/>
        </w:rPr>
      </w:pPr>
      <w:r>
        <w:rPr>
          <w:rFonts w:hint="eastAsia" w:ascii="Times New Roman" w:hAnsi="Times New Roman" w:cs="Times New Roman"/>
          <w:kern w:val="2"/>
          <w:sz w:val="32"/>
          <w:szCs w:val="32"/>
          <w:highlight w:val="none"/>
          <w:lang w:val="en-US" w:eastAsia="zh-CN" w:bidi="ar-SA"/>
        </w:rPr>
        <w:t>2、成果应包括（但不限于）提供各阶段所必需的成果、方案介绍等汇报资料和存档等资料，还应提交拥堵治理相关分析图集、评估报告附图附表。包括但不限于：东莞市交通拥堵治理及治理效果评估总报告及重点专题研究（2个重点片区拥堵治理专题研究、30个重点路口拥堵治理专题研究、拥堵成因诊断分析报告、交通改善实施建议、治理效果监测与评估报告等）。充分表达项目编制内容，并能达到预期项目目标，投标人须根据本项目内容和要求，在投标响应文件中相应简述相关成果的全部内容（或大纲）。</w:t>
      </w:r>
    </w:p>
    <w:p w14:paraId="07EE4CCD">
      <w:pPr>
        <w:pStyle w:val="16"/>
        <w:numPr>
          <w:ilvl w:val="0"/>
          <w:numId w:val="0"/>
        </w:numPr>
        <w:ind w:firstLine="640" w:firstLineChars="200"/>
        <w:rPr>
          <w:rFonts w:hint="eastAsia" w:ascii="Times New Roman" w:hAnsi="Times New Roman" w:cs="Times New Roman"/>
          <w:kern w:val="2"/>
          <w:sz w:val="32"/>
          <w:szCs w:val="32"/>
          <w:highlight w:val="none"/>
          <w:lang w:val="en-US" w:eastAsia="zh-CN" w:bidi="ar-SA"/>
        </w:rPr>
      </w:pPr>
      <w:r>
        <w:rPr>
          <w:rFonts w:hint="eastAsia" w:ascii="Times New Roman" w:hAnsi="Times New Roman" w:cs="Times New Roman"/>
          <w:kern w:val="2"/>
          <w:sz w:val="32"/>
          <w:szCs w:val="32"/>
          <w:highlight w:val="none"/>
          <w:lang w:val="en-US" w:eastAsia="zh-CN" w:bidi="ar-SA"/>
        </w:rPr>
        <w:t>3、主要成果版本包括纸质文档（含图纸）和相对应的电子版文件，中标服务商须按采购人提出的内容和要求完成最终成果的编制，并提交相应的最终成果10份（包括纸质文件8套、电子光盘2套）。</w:t>
      </w:r>
    </w:p>
    <w:p w14:paraId="0FE5299A">
      <w:pPr>
        <w:pStyle w:val="16"/>
        <w:numPr>
          <w:ilvl w:val="0"/>
          <w:numId w:val="0"/>
        </w:numPr>
        <w:ind w:firstLine="640" w:firstLineChars="200"/>
        <w:rPr>
          <w:rFonts w:hint="eastAsia" w:ascii="Times New Roman" w:hAnsi="Times New Roman" w:cs="Times New Roman"/>
          <w:kern w:val="2"/>
          <w:sz w:val="32"/>
          <w:szCs w:val="32"/>
          <w:highlight w:val="none"/>
          <w:lang w:val="en-US" w:eastAsia="zh-CN" w:bidi="ar-SA"/>
        </w:rPr>
      </w:pPr>
      <w:r>
        <w:rPr>
          <w:rFonts w:hint="eastAsia" w:ascii="Times New Roman" w:hAnsi="Times New Roman" w:cs="Times New Roman"/>
          <w:kern w:val="2"/>
          <w:sz w:val="32"/>
          <w:szCs w:val="32"/>
          <w:highlight w:val="none"/>
          <w:lang w:val="en-US" w:eastAsia="zh-CN" w:bidi="ar-SA"/>
        </w:rPr>
        <w:t>4、最终成果内容必须清晰完整，说明书应准确、完整地阐述其项目意图和内容，项目所包含的相关图纸内容必须全面、准确。中标服务商应按上报所需的要求向采购人提供相应的文本及资料。</w:t>
      </w:r>
    </w:p>
    <w:p w14:paraId="68C012BC">
      <w:pPr>
        <w:pStyle w:val="16"/>
        <w:numPr>
          <w:ilvl w:val="0"/>
          <w:numId w:val="0"/>
        </w:numPr>
        <w:ind w:firstLine="640" w:firstLineChars="200"/>
        <w:rPr>
          <w:rFonts w:hint="default" w:ascii="Times New Roman" w:hAnsi="Times New Roman" w:cs="Times New Roman"/>
          <w:kern w:val="2"/>
          <w:sz w:val="32"/>
          <w:szCs w:val="32"/>
          <w:highlight w:val="none"/>
          <w:lang w:val="en-US" w:eastAsia="zh-CN" w:bidi="ar-SA"/>
        </w:rPr>
      </w:pPr>
      <w:r>
        <w:rPr>
          <w:rFonts w:hint="eastAsia" w:ascii="Times New Roman" w:hAnsi="Times New Roman" w:cs="Times New Roman"/>
          <w:kern w:val="2"/>
          <w:sz w:val="32"/>
          <w:szCs w:val="32"/>
          <w:highlight w:val="none"/>
          <w:lang w:val="en-US" w:eastAsia="zh-CN" w:bidi="ar-SA"/>
        </w:rPr>
        <w:t>5、电子版要求：全部最终成果均应制作成电子版，文本文件采用.doc、.txt格式，图形文件采用.shp、.dwg、.jpg、.pdf、.ppt格式，并以光盘（无密码、无病毒和无删减）形式提供。具体文件格式以采购人需求为准，中标服务商须无条件配合。</w:t>
      </w:r>
    </w:p>
    <w:p w14:paraId="6E8155CC">
      <w:pPr>
        <w:pStyle w:val="16"/>
        <w:ind w:firstLine="640"/>
        <w:rPr>
          <w:rFonts w:hint="default" w:ascii="Times New Roman" w:hAnsi="Times New Roman" w:eastAsia="黑体" w:cs="Times New Roman"/>
          <w:bCs/>
        </w:rPr>
      </w:pPr>
      <w:r>
        <w:rPr>
          <w:rFonts w:hint="eastAsia" w:eastAsia="黑体" w:cs="Times New Roman"/>
          <w:bCs/>
          <w:lang w:eastAsia="zh-CN"/>
        </w:rPr>
        <w:t>三</w:t>
      </w:r>
      <w:r>
        <w:rPr>
          <w:rFonts w:hint="default" w:ascii="Times New Roman" w:hAnsi="Times New Roman" w:eastAsia="黑体" w:cs="Times New Roman"/>
          <w:bCs/>
        </w:rPr>
        <w:t>、服务商资质要求</w:t>
      </w:r>
    </w:p>
    <w:p w14:paraId="5AF48047">
      <w:pPr>
        <w:spacing w:line="520" w:lineRule="exact"/>
        <w:ind w:firstLine="640" w:firstLineChars="200"/>
        <w:rPr>
          <w:rFonts w:hint="default" w:ascii="Times New Roman" w:hAnsi="Times New Roman" w:cs="Times New Roman"/>
        </w:rPr>
      </w:pPr>
      <w:r>
        <w:rPr>
          <w:rFonts w:hint="default" w:ascii="Times New Roman" w:hAnsi="Times New Roman" w:cs="Times New Roman"/>
        </w:rPr>
        <w:t>参照《中华人民共和国政府采购法》第二十二条规定，服务商须符合以下条件：</w:t>
      </w:r>
    </w:p>
    <w:p w14:paraId="2CA943EB">
      <w:pPr>
        <w:spacing w:line="520" w:lineRule="exact"/>
        <w:ind w:firstLine="640" w:firstLineChars="200"/>
        <w:rPr>
          <w:rFonts w:hint="default" w:ascii="Times New Roman" w:hAnsi="Times New Roman" w:cs="Times New Roman"/>
        </w:rPr>
      </w:pPr>
      <w:r>
        <w:rPr>
          <w:rFonts w:hint="default" w:ascii="Times New Roman" w:hAnsi="Times New Roman" w:cs="Times New Roman"/>
        </w:rPr>
        <w:t>（一）具有独立承担民事责任的能力。</w:t>
      </w:r>
    </w:p>
    <w:p w14:paraId="31CA5BF9">
      <w:pPr>
        <w:spacing w:line="520" w:lineRule="exact"/>
        <w:ind w:firstLine="640" w:firstLineChars="200"/>
        <w:rPr>
          <w:rFonts w:hint="default" w:ascii="Times New Roman" w:hAnsi="Times New Roman" w:cs="Times New Roman"/>
        </w:rPr>
      </w:pPr>
      <w:r>
        <w:rPr>
          <w:rFonts w:hint="default" w:ascii="Times New Roman" w:hAnsi="Times New Roman" w:cs="Times New Roman"/>
        </w:rPr>
        <w:t>（二）具有依法缴纳税收和社会保障资金的良好记录。</w:t>
      </w:r>
    </w:p>
    <w:p w14:paraId="2C1814E7">
      <w:pPr>
        <w:spacing w:line="520" w:lineRule="exact"/>
        <w:ind w:firstLine="640" w:firstLineChars="200"/>
        <w:rPr>
          <w:rFonts w:hint="default" w:ascii="Times New Roman" w:hAnsi="Times New Roman" w:cs="Times New Roman"/>
        </w:rPr>
      </w:pPr>
      <w:r>
        <w:rPr>
          <w:rFonts w:hint="default" w:ascii="Times New Roman" w:hAnsi="Times New Roman" w:cs="Times New Roman"/>
        </w:rPr>
        <w:t>（三）具有良好的商业信誉和健全的财务会计制度。</w:t>
      </w:r>
    </w:p>
    <w:p w14:paraId="752FD8E4">
      <w:pPr>
        <w:spacing w:line="520" w:lineRule="exact"/>
        <w:ind w:firstLine="640" w:firstLineChars="200"/>
        <w:rPr>
          <w:rFonts w:hint="default" w:ascii="Times New Roman" w:hAnsi="Times New Roman" w:cs="Times New Roman"/>
        </w:rPr>
      </w:pPr>
      <w:r>
        <w:rPr>
          <w:rFonts w:hint="default" w:ascii="Times New Roman" w:hAnsi="Times New Roman" w:cs="Times New Roman"/>
        </w:rPr>
        <w:t>（四）具有履行合同所必需的设备和专业技术能力。</w:t>
      </w:r>
    </w:p>
    <w:p w14:paraId="453723E9">
      <w:pPr>
        <w:spacing w:line="520" w:lineRule="exact"/>
        <w:ind w:firstLine="640" w:firstLineChars="200"/>
        <w:rPr>
          <w:rFonts w:hint="default" w:ascii="Times New Roman" w:hAnsi="Times New Roman" w:cs="Times New Roman"/>
        </w:rPr>
      </w:pPr>
      <w:r>
        <w:rPr>
          <w:rFonts w:hint="default" w:ascii="Times New Roman" w:hAnsi="Times New Roman" w:cs="Times New Roman"/>
        </w:rPr>
        <w:t>（五）参加采购活动前三年内，在经营活动中没有重大违法记录（服务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3533375B">
      <w:pPr>
        <w:spacing w:line="520" w:lineRule="exact"/>
        <w:ind w:firstLine="640" w:firstLineChars="200"/>
        <w:rPr>
          <w:rFonts w:hint="default" w:ascii="Times New Roman" w:hAnsi="Times New Roman" w:cs="Times New Roman"/>
        </w:rPr>
      </w:pPr>
      <w:r>
        <w:rPr>
          <w:rFonts w:hint="default" w:ascii="Times New Roman" w:hAnsi="Times New Roman" w:cs="Times New Roman"/>
        </w:rPr>
        <w:t>（六）本项目不接受联合体参与，不能转包。</w:t>
      </w:r>
    </w:p>
    <w:p w14:paraId="13E63557">
      <w:pPr>
        <w:pStyle w:val="15"/>
        <w:spacing w:line="520" w:lineRule="exact"/>
        <w:ind w:firstLine="640"/>
        <w:rPr>
          <w:rFonts w:hint="default" w:ascii="Times New Roman" w:hAnsi="Times New Roman" w:cs="Times New Roman"/>
        </w:rPr>
      </w:pPr>
      <w:r>
        <w:rPr>
          <w:rFonts w:hint="eastAsia" w:eastAsia="黑体" w:cs="Times New Roman"/>
          <w:bCs/>
          <w:lang w:eastAsia="zh-CN"/>
        </w:rPr>
        <w:t>四</w:t>
      </w:r>
      <w:r>
        <w:rPr>
          <w:rFonts w:hint="default" w:ascii="Times New Roman" w:hAnsi="Times New Roman" w:eastAsia="黑体" w:cs="Times New Roman"/>
          <w:bCs/>
        </w:rPr>
        <w:t>、报价要求</w:t>
      </w:r>
    </w:p>
    <w:p w14:paraId="6F72C11C">
      <w:pPr>
        <w:pStyle w:val="15"/>
        <w:spacing w:line="520" w:lineRule="exact"/>
        <w:ind w:firstLine="640"/>
        <w:jc w:val="left"/>
        <w:rPr>
          <w:rFonts w:hint="default" w:ascii="Times New Roman" w:hAnsi="Times New Roman" w:cs="Times New Roman"/>
        </w:rPr>
      </w:pPr>
      <w:r>
        <w:rPr>
          <w:rFonts w:hint="default" w:ascii="Times New Roman" w:hAnsi="Times New Roman" w:cs="Times New Roman"/>
        </w:rPr>
        <w:t>报价最高限价为</w:t>
      </w:r>
      <w:r>
        <w:rPr>
          <w:rFonts w:hint="default" w:ascii="Times New Roman" w:hAnsi="Times New Roman" w:cs="Times New Roman"/>
          <w:lang w:val="en-US" w:eastAsia="zh-CN"/>
        </w:rPr>
        <w:t>不超过</w:t>
      </w:r>
      <w:r>
        <w:rPr>
          <w:rFonts w:hint="eastAsia" w:cs="Times New Roman"/>
          <w:lang w:val="en-US" w:eastAsia="zh-CN"/>
        </w:rPr>
        <w:t>950</w:t>
      </w:r>
      <w:r>
        <w:rPr>
          <w:rFonts w:hint="default" w:ascii="Times New Roman" w:hAnsi="Times New Roman" w:cs="Times New Roman"/>
        </w:rPr>
        <w:t>,</w:t>
      </w:r>
      <w:r>
        <w:rPr>
          <w:rFonts w:hint="eastAsia" w:cs="Times New Roman"/>
          <w:lang w:val="en-US" w:eastAsia="zh-CN"/>
        </w:rPr>
        <w:t>0</w:t>
      </w:r>
      <w:r>
        <w:rPr>
          <w:rFonts w:hint="default" w:ascii="Times New Roman" w:hAnsi="Times New Roman" w:cs="Times New Roman"/>
        </w:rPr>
        <w:t>00.00元</w:t>
      </w:r>
      <w:r>
        <w:rPr>
          <w:rFonts w:hint="default" w:ascii="Times New Roman" w:hAnsi="Times New Roman" w:cs="Times New Roman"/>
          <w:lang w:val="en-US" w:eastAsia="zh-CN"/>
        </w:rPr>
        <w:t>，</w:t>
      </w:r>
      <w:r>
        <w:rPr>
          <w:rFonts w:hint="default" w:ascii="Times New Roman" w:hAnsi="Times New Roman" w:cs="Times New Roman"/>
        </w:rPr>
        <w:t>报价应包含合同实施过程中不可预见费用等。</w:t>
      </w:r>
    </w:p>
    <w:p w14:paraId="780AA048">
      <w:pPr>
        <w:pStyle w:val="16"/>
        <w:ind w:firstLine="640"/>
        <w:rPr>
          <w:rFonts w:hint="default" w:ascii="Times New Roman" w:hAnsi="Times New Roman" w:eastAsia="黑体" w:cs="Times New Roman"/>
          <w:bCs/>
        </w:rPr>
      </w:pPr>
      <w:r>
        <w:rPr>
          <w:rFonts w:hint="eastAsia" w:eastAsia="黑体" w:cs="Times New Roman"/>
          <w:bCs/>
          <w:lang w:eastAsia="zh-CN"/>
        </w:rPr>
        <w:t>五</w:t>
      </w:r>
      <w:r>
        <w:rPr>
          <w:rFonts w:hint="default" w:ascii="Times New Roman" w:hAnsi="Times New Roman" w:eastAsia="黑体" w:cs="Times New Roman"/>
          <w:bCs/>
        </w:rPr>
        <w:t>、响应报价说明</w:t>
      </w:r>
    </w:p>
    <w:p w14:paraId="7BED89CE">
      <w:pPr>
        <w:pStyle w:val="15"/>
        <w:spacing w:line="520" w:lineRule="exact"/>
        <w:ind w:firstLine="640"/>
        <w:rPr>
          <w:rFonts w:hint="default" w:ascii="Times New Roman" w:hAnsi="Times New Roman" w:cs="Times New Roman"/>
        </w:rPr>
      </w:pPr>
      <w:r>
        <w:rPr>
          <w:rFonts w:hint="default" w:ascii="Times New Roman" w:hAnsi="Times New Roman" w:cs="Times New Roman"/>
        </w:rPr>
        <w:t>响应资料必须加盖公章后密封，并在封面上注明投件单位、联系人及联系电话，在封口处加贴封条和加盖公章，未作密封盖章处理或逾期送达的文件将视为无效。报价材料包括：</w:t>
      </w:r>
    </w:p>
    <w:p w14:paraId="083E9A1B">
      <w:pPr>
        <w:pStyle w:val="15"/>
        <w:numPr>
          <w:ilvl w:val="0"/>
          <w:numId w:val="1"/>
        </w:numPr>
        <w:spacing w:line="520" w:lineRule="exact"/>
        <w:ind w:firstLine="640"/>
        <w:rPr>
          <w:rFonts w:hint="default" w:ascii="Times New Roman" w:hAnsi="Times New Roman" w:cs="Times New Roman"/>
        </w:rPr>
      </w:pPr>
      <w:r>
        <w:rPr>
          <w:rFonts w:hint="default" w:ascii="Times New Roman" w:hAnsi="Times New Roman" w:cs="Times New Roman"/>
        </w:rPr>
        <w:t>《营业执照》复印件、法人代表身份证复印件（正、反面）；</w:t>
      </w:r>
    </w:p>
    <w:p w14:paraId="0183079E">
      <w:pPr>
        <w:pStyle w:val="15"/>
        <w:numPr>
          <w:ilvl w:val="0"/>
          <w:numId w:val="1"/>
        </w:numPr>
        <w:spacing w:line="520" w:lineRule="exact"/>
        <w:ind w:firstLine="640"/>
        <w:rPr>
          <w:rFonts w:hint="default" w:ascii="Times New Roman" w:hAnsi="Times New Roman" w:cs="Times New Roman"/>
        </w:rPr>
      </w:pPr>
      <w:r>
        <w:rPr>
          <w:rFonts w:hint="default" w:ascii="Times New Roman" w:hAnsi="Times New Roman" w:cs="Times New Roman"/>
        </w:rPr>
        <w:t>报价表（见附件1）；</w:t>
      </w:r>
    </w:p>
    <w:p w14:paraId="1BA1E37A">
      <w:pPr>
        <w:pStyle w:val="15"/>
        <w:numPr>
          <w:ilvl w:val="0"/>
          <w:numId w:val="1"/>
        </w:numPr>
        <w:spacing w:line="520" w:lineRule="exact"/>
        <w:ind w:firstLine="640"/>
        <w:rPr>
          <w:rFonts w:hint="default" w:ascii="Times New Roman" w:hAnsi="Times New Roman" w:cs="Times New Roman"/>
        </w:rPr>
      </w:pPr>
      <w:r>
        <w:rPr>
          <w:rFonts w:hint="default" w:ascii="Times New Roman" w:hAnsi="Times New Roman" w:cs="Times New Roman"/>
        </w:rPr>
        <w:t>资格条件承诺函（见附件2）；</w:t>
      </w:r>
    </w:p>
    <w:p w14:paraId="0CA68BD1">
      <w:pPr>
        <w:pStyle w:val="15"/>
        <w:numPr>
          <w:ilvl w:val="0"/>
          <w:numId w:val="1"/>
        </w:numPr>
        <w:spacing w:line="520" w:lineRule="exact"/>
        <w:ind w:firstLine="640"/>
        <w:rPr>
          <w:rFonts w:hint="default" w:ascii="Times New Roman" w:hAnsi="Times New Roman" w:cs="Times New Roman"/>
        </w:rPr>
      </w:pPr>
      <w:r>
        <w:rPr>
          <w:rFonts w:hint="default" w:ascii="Times New Roman" w:hAnsi="Times New Roman" w:cs="Times New Roman"/>
        </w:rPr>
        <w:t>服务商信用查询（查询渠道：“信用中国”（www.creditchina.gov.cn）</w:t>
      </w:r>
      <w:r>
        <w:rPr>
          <w:rFonts w:hint="default" w:ascii="Times New Roman" w:hAnsi="Times New Roman" w:cs="Times New Roman"/>
          <w:lang w:eastAsia="zh-CN"/>
        </w:rPr>
        <w:t>、</w:t>
      </w:r>
      <w:r>
        <w:rPr>
          <w:rFonts w:hint="default" w:ascii="Times New Roman" w:hAnsi="Times New Roman" w:cs="Times New Roman"/>
        </w:rPr>
        <w:t>“中国政府采购网”（http://www.ccgp.gov.cn/）网页截图，查询时间截点：采购公告发布之日至响应文件提交截止时间前。）</w:t>
      </w:r>
    </w:p>
    <w:p w14:paraId="0DC46E7A">
      <w:pPr>
        <w:pStyle w:val="15"/>
        <w:numPr>
          <w:ilvl w:val="0"/>
          <w:numId w:val="1"/>
        </w:numPr>
        <w:spacing w:line="520" w:lineRule="exact"/>
        <w:ind w:firstLine="640"/>
        <w:rPr>
          <w:rFonts w:hint="default" w:ascii="Times New Roman" w:hAnsi="Times New Roman" w:cs="Times New Roman"/>
        </w:rPr>
      </w:pPr>
      <w:r>
        <w:rPr>
          <w:rFonts w:hint="default" w:ascii="Times New Roman" w:hAnsi="Times New Roman" w:cs="Times New Roman"/>
        </w:rPr>
        <w:t>法定代表人授权书（模板见附件3，无授权代表可不提供）；</w:t>
      </w:r>
    </w:p>
    <w:p w14:paraId="0F97A121">
      <w:pPr>
        <w:pStyle w:val="15"/>
        <w:numPr>
          <w:ilvl w:val="0"/>
          <w:numId w:val="1"/>
        </w:numPr>
        <w:spacing w:line="520" w:lineRule="exact"/>
        <w:ind w:firstLine="640"/>
        <w:rPr>
          <w:rFonts w:hint="default" w:ascii="Times New Roman" w:hAnsi="Times New Roman" w:cs="Times New Roman"/>
        </w:rPr>
      </w:pPr>
      <w:r>
        <w:rPr>
          <w:rFonts w:hint="default" w:ascii="Times New Roman" w:hAnsi="Times New Roman" w:cs="Times New Roman"/>
        </w:rPr>
        <w:t>根据本《项目需求书》要求编制并提供相应的资料（建议列索引表）。</w:t>
      </w:r>
    </w:p>
    <w:p w14:paraId="65095338">
      <w:pPr>
        <w:pStyle w:val="16"/>
        <w:ind w:firstLine="640"/>
        <w:rPr>
          <w:rFonts w:hint="default" w:ascii="Times New Roman" w:hAnsi="Times New Roman" w:eastAsia="黑体" w:cs="Times New Roman"/>
          <w:bCs/>
          <w:highlight w:val="none"/>
        </w:rPr>
      </w:pPr>
      <w:r>
        <w:rPr>
          <w:rFonts w:hint="eastAsia" w:eastAsia="黑体" w:cs="Times New Roman"/>
          <w:bCs/>
          <w:highlight w:val="none"/>
          <w:lang w:eastAsia="zh-CN"/>
        </w:rPr>
        <w:t>六</w:t>
      </w:r>
      <w:r>
        <w:rPr>
          <w:rFonts w:hint="default" w:ascii="Times New Roman" w:hAnsi="Times New Roman" w:eastAsia="黑体" w:cs="Times New Roman"/>
          <w:bCs/>
          <w:highlight w:val="none"/>
        </w:rPr>
        <w:t>、支付方式</w:t>
      </w:r>
    </w:p>
    <w:p w14:paraId="25215BCE">
      <w:pPr>
        <w:pStyle w:val="15"/>
        <w:spacing w:line="240" w:lineRule="auto"/>
        <w:ind w:firstLine="640"/>
        <w:rPr>
          <w:rFonts w:hint="default" w:ascii="Times New Roman" w:hAnsi="Times New Roman" w:cs="Times New Roman"/>
          <w:highlight w:val="none"/>
        </w:rPr>
      </w:pPr>
      <w:r>
        <w:rPr>
          <w:rFonts w:hint="default" w:ascii="Times New Roman" w:hAnsi="Times New Roman" w:cs="Times New Roman"/>
          <w:highlight w:val="none"/>
        </w:rPr>
        <w:t>（一）技术服务费由甲方分期支付乙方。</w:t>
      </w:r>
    </w:p>
    <w:p w14:paraId="06311754">
      <w:pPr>
        <w:pStyle w:val="15"/>
        <w:spacing w:line="240" w:lineRule="auto"/>
        <w:ind w:firstLine="640"/>
        <w:rPr>
          <w:rFonts w:hint="default" w:ascii="Times New Roman" w:hAnsi="Times New Roman" w:cs="Times New Roman"/>
          <w:highlight w:val="none"/>
        </w:rPr>
      </w:pPr>
      <w:r>
        <w:rPr>
          <w:rFonts w:hint="default" w:ascii="Times New Roman" w:hAnsi="Times New Roman" w:cs="Times New Roman"/>
          <w:highlight w:val="none"/>
        </w:rPr>
        <w:t>（二）具体支付方式和时间如下：</w:t>
      </w:r>
    </w:p>
    <w:p w14:paraId="3E454B77">
      <w:pPr>
        <w:pStyle w:val="15"/>
        <w:spacing w:line="240" w:lineRule="auto"/>
        <w:ind w:firstLine="640"/>
        <w:rPr>
          <w:rFonts w:hint="default" w:ascii="Times New Roman" w:hAnsi="Times New Roman" w:cs="Times New Roman"/>
          <w:highlight w:val="none"/>
        </w:rPr>
      </w:pPr>
      <w:r>
        <w:rPr>
          <w:rFonts w:hint="default" w:ascii="Times New Roman" w:hAnsi="Times New Roman" w:cs="Times New Roman"/>
          <w:highlight w:val="none"/>
        </w:rPr>
        <w:t>付款方式分</w:t>
      </w:r>
      <w:r>
        <w:rPr>
          <w:rFonts w:hint="eastAsia" w:cs="Times New Roman"/>
          <w:highlight w:val="none"/>
          <w:lang w:eastAsia="zh-CN"/>
        </w:rPr>
        <w:t>三</w:t>
      </w:r>
      <w:r>
        <w:rPr>
          <w:rFonts w:hint="default" w:ascii="Times New Roman" w:hAnsi="Times New Roman" w:cs="Times New Roman"/>
          <w:highlight w:val="none"/>
        </w:rPr>
        <w:t>个阶段支付：</w:t>
      </w:r>
    </w:p>
    <w:p w14:paraId="37283D55">
      <w:pPr>
        <w:pStyle w:val="17"/>
        <w:numPr>
          <w:ilvl w:val="255"/>
          <w:numId w:val="0"/>
        </w:numPr>
        <w:spacing w:before="0" w:after="0" w:line="560" w:lineRule="exact"/>
        <w:ind w:firstLine="640" w:firstLineChars="200"/>
        <w:rPr>
          <w:rFonts w:hint="default"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第一阶段：甲乙双方签订合同后，甲方于乙方发起请款并开具等额合法有效增值税专用发票后的</w:t>
      </w:r>
      <w:r>
        <w:rPr>
          <w:rFonts w:hint="default" w:ascii="Times New Roman" w:hAnsi="Times New Roman" w:eastAsia="仿宋_GB2312" w:cs="Times New Roman"/>
          <w:kern w:val="2"/>
          <w:sz w:val="32"/>
          <w:szCs w:val="24"/>
          <w:lang w:val="en-US" w:eastAsia="zh-CN" w:bidi="ar-SA"/>
        </w:rPr>
        <w:t>10个工作日内，</w:t>
      </w:r>
      <w:r>
        <w:rPr>
          <w:rFonts w:hint="eastAsia" w:ascii="Times New Roman" w:hAnsi="Times New Roman" w:eastAsia="仿宋_GB2312" w:cs="Times New Roman"/>
          <w:kern w:val="2"/>
          <w:sz w:val="32"/>
          <w:szCs w:val="24"/>
          <w:lang w:val="en-US" w:eastAsia="zh-CN" w:bidi="ar-SA"/>
        </w:rPr>
        <w:t>支付合同总金额的30%</w:t>
      </w:r>
      <w:r>
        <w:rPr>
          <w:rFonts w:hint="default" w:ascii="Times New Roman" w:hAnsi="Times New Roman" w:eastAsia="仿宋_GB2312" w:cs="Times New Roman"/>
          <w:kern w:val="2"/>
          <w:sz w:val="32"/>
          <w:szCs w:val="24"/>
          <w:lang w:val="en-US" w:eastAsia="zh-CN" w:bidi="ar-SA"/>
        </w:rPr>
        <w:t>；</w:t>
      </w:r>
    </w:p>
    <w:p w14:paraId="54BCF4FA">
      <w:pPr>
        <w:pStyle w:val="17"/>
        <w:numPr>
          <w:ilvl w:val="255"/>
          <w:numId w:val="0"/>
        </w:numPr>
        <w:spacing w:before="0" w:after="0" w:line="560" w:lineRule="exact"/>
        <w:ind w:firstLine="640" w:firstLineChars="200"/>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第二阶段：乙方完成拥堵治理方案编制并经专家评审后，</w:t>
      </w:r>
      <w:r>
        <w:rPr>
          <w:rFonts w:hint="default" w:ascii="Times New Roman" w:hAnsi="Times New Roman" w:eastAsia="仿宋_GB2312" w:cs="Times New Roman"/>
          <w:kern w:val="2"/>
          <w:sz w:val="32"/>
          <w:szCs w:val="24"/>
          <w:lang w:val="en-US" w:eastAsia="zh-CN" w:bidi="ar-SA"/>
        </w:rPr>
        <w:t>甲方于乙方发起请款并开具</w:t>
      </w:r>
      <w:r>
        <w:rPr>
          <w:rFonts w:hint="eastAsia" w:ascii="Times New Roman" w:hAnsi="Times New Roman" w:eastAsia="仿宋_GB2312" w:cs="Times New Roman"/>
          <w:kern w:val="2"/>
          <w:sz w:val="32"/>
          <w:szCs w:val="24"/>
          <w:lang w:val="en-US" w:eastAsia="zh-CN" w:bidi="ar-SA"/>
        </w:rPr>
        <w:t>等额合法有效增值税专用发票后的</w:t>
      </w:r>
      <w:r>
        <w:rPr>
          <w:rFonts w:hint="default" w:ascii="Times New Roman" w:hAnsi="Times New Roman" w:eastAsia="仿宋_GB2312" w:cs="Times New Roman"/>
          <w:kern w:val="2"/>
          <w:sz w:val="32"/>
          <w:szCs w:val="24"/>
          <w:lang w:val="en-US" w:eastAsia="zh-CN" w:bidi="ar-SA"/>
        </w:rPr>
        <w:t>10个工作日内，支付合同总金额的</w:t>
      </w:r>
      <w:r>
        <w:rPr>
          <w:rFonts w:hint="eastAsia" w:ascii="Times New Roman" w:hAnsi="Times New Roman" w:eastAsia="仿宋_GB2312" w:cs="Times New Roman"/>
          <w:kern w:val="2"/>
          <w:sz w:val="32"/>
          <w:szCs w:val="24"/>
          <w:lang w:val="en-US" w:eastAsia="zh-CN" w:bidi="ar-SA"/>
        </w:rPr>
        <w:t>50</w:t>
      </w:r>
      <w:r>
        <w:rPr>
          <w:rFonts w:hint="default" w:ascii="Times New Roman" w:hAnsi="Times New Roman" w:eastAsia="仿宋_GB2312" w:cs="Times New Roman"/>
          <w:kern w:val="2"/>
          <w:sz w:val="32"/>
          <w:szCs w:val="24"/>
          <w:lang w:val="en-US" w:eastAsia="zh-CN" w:bidi="ar-SA"/>
        </w:rPr>
        <w:t>%</w:t>
      </w:r>
      <w:r>
        <w:rPr>
          <w:rFonts w:hint="eastAsia" w:ascii="Times New Roman" w:hAnsi="Times New Roman" w:eastAsia="仿宋_GB2312" w:cs="Times New Roman"/>
          <w:kern w:val="2"/>
          <w:sz w:val="32"/>
          <w:szCs w:val="24"/>
          <w:lang w:val="en-US" w:eastAsia="zh-CN" w:bidi="ar-SA"/>
        </w:rPr>
        <w:t>。</w:t>
      </w:r>
    </w:p>
    <w:p w14:paraId="1C7A3929">
      <w:pPr>
        <w:pStyle w:val="17"/>
        <w:numPr>
          <w:ilvl w:val="255"/>
          <w:numId w:val="0"/>
        </w:numPr>
        <w:spacing w:before="0" w:after="0" w:line="560" w:lineRule="exact"/>
        <w:ind w:firstLine="640" w:firstLineChars="200"/>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第三阶段：乙方完成终期成果并经甲方验收合格后，甲方于乙方发起请款并开具等额合法有效增值税专用发票后的10个工作日内，支付合同总金额的20%。</w:t>
      </w:r>
    </w:p>
    <w:p w14:paraId="783C6703">
      <w:pPr>
        <w:pStyle w:val="15"/>
        <w:spacing w:line="240" w:lineRule="auto"/>
        <w:ind w:left="640" w:leftChars="200" w:firstLine="0" w:firstLineChars="0"/>
        <w:rPr>
          <w:rFonts w:hint="default" w:ascii="Times New Roman" w:hAnsi="Times New Roman" w:cs="Times New Roman"/>
        </w:rPr>
      </w:pPr>
      <w:r>
        <w:rPr>
          <w:rFonts w:hint="default" w:ascii="Times New Roman" w:hAnsi="Times New Roman" w:cs="Times New Roman"/>
        </w:rPr>
        <w:t>（三）采购人和中标人双方采用对公转账的支付方式进行结算。</w:t>
      </w:r>
    </w:p>
    <w:p w14:paraId="04262085">
      <w:pPr>
        <w:pStyle w:val="15"/>
        <w:spacing w:line="240" w:lineRule="auto"/>
        <w:ind w:firstLine="640"/>
        <w:rPr>
          <w:rFonts w:hint="default" w:ascii="Times New Roman" w:hAnsi="Times New Roman" w:cs="Times New Roman"/>
        </w:rPr>
      </w:pPr>
      <w:r>
        <w:rPr>
          <w:rFonts w:hint="default" w:ascii="Times New Roman" w:hAnsi="Times New Roman" w:cs="Times New Roman"/>
        </w:rPr>
        <w:t>（四）采购人付款前中标人应当开具相应合法的发票，否则采购人有权拒绝付款且不承担任何责任。采购人在收到中标人正式发票后十个工作日内向中标人支付对应金额。</w:t>
      </w:r>
    </w:p>
    <w:p w14:paraId="6B9A3171">
      <w:pPr>
        <w:pStyle w:val="15"/>
        <w:spacing w:line="240" w:lineRule="auto"/>
        <w:ind w:firstLine="640"/>
        <w:rPr>
          <w:rFonts w:hint="eastAsia" w:ascii="Times New Roman" w:hAnsi="Times New Roman" w:eastAsia="仿宋_GB2312" w:cs="Times New Roman"/>
          <w:lang w:eastAsia="zh-CN"/>
        </w:rPr>
      </w:pPr>
      <w:r>
        <w:rPr>
          <w:rFonts w:hint="eastAsia" w:cs="Times New Roman"/>
          <w:lang w:eastAsia="zh-CN"/>
        </w:rPr>
        <w:t>（五）本条款仅供参考，最终以甲方提供的样本并经甲乙双方协商一致的合同为准。</w:t>
      </w:r>
    </w:p>
    <w:p w14:paraId="7DAB8FA1">
      <w:pPr>
        <w:pStyle w:val="15"/>
        <w:spacing w:line="240" w:lineRule="auto"/>
        <w:ind w:firstLine="0" w:firstLineChars="0"/>
        <w:jc w:val="center"/>
        <w:rPr>
          <w:rFonts w:hint="default" w:ascii="Times New Roman" w:hAnsi="Times New Roman" w:cs="Times New Roman"/>
        </w:rPr>
      </w:pPr>
    </w:p>
    <w:p w14:paraId="4B10EC81">
      <w:pPr>
        <w:jc w:val="center"/>
        <w:rPr>
          <w:rFonts w:hint="default" w:ascii="Times New Roman" w:hAnsi="Times New Roman" w:eastAsia="黑体" w:cs="Times New Roman"/>
        </w:rPr>
      </w:pPr>
      <w:r>
        <w:rPr>
          <w:rFonts w:hint="default" w:ascii="Times New Roman" w:hAnsi="Times New Roman" w:eastAsia="黑体" w:cs="Times New Roman"/>
        </w:rPr>
        <w:t>第三部分 评</w:t>
      </w:r>
      <w:r>
        <w:rPr>
          <w:rFonts w:hint="default" w:ascii="Times New Roman" w:hAnsi="Times New Roman" w:eastAsia="黑体" w:cs="Times New Roman"/>
          <w:lang w:eastAsia="zh-CN"/>
        </w:rPr>
        <w:t>审</w:t>
      </w:r>
      <w:r>
        <w:rPr>
          <w:rFonts w:hint="default" w:ascii="Times New Roman" w:hAnsi="Times New Roman" w:eastAsia="黑体" w:cs="Times New Roman"/>
        </w:rPr>
        <w:t>标准</w:t>
      </w:r>
    </w:p>
    <w:p w14:paraId="29E6D13C">
      <w:pPr>
        <w:ind w:firstLine="640" w:firstLineChars="200"/>
        <w:rPr>
          <w:rFonts w:hint="default" w:ascii="Times New Roman" w:hAnsi="Times New Roman" w:cs="Times New Roman"/>
        </w:rPr>
      </w:pPr>
      <w:r>
        <w:rPr>
          <w:rFonts w:hint="default" w:ascii="Times New Roman" w:hAnsi="Times New Roman" w:cs="Times New Roman"/>
        </w:rPr>
        <w:t>根据评审原则，所有响应文件的评分按商务部分、技术部分和报价部分三个部分分别打分的方式进行。</w:t>
      </w:r>
    </w:p>
    <w:tbl>
      <w:tblPr>
        <w:tblStyle w:val="18"/>
        <w:tblW w:w="566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2"/>
        <w:gridCol w:w="2499"/>
        <w:gridCol w:w="6581"/>
        <w:gridCol w:w="772"/>
      </w:tblGrid>
      <w:tr w14:paraId="11AC4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328" w:type="pct"/>
            <w:vAlign w:val="center"/>
          </w:tcPr>
          <w:p w14:paraId="449E6A82">
            <w:pPr>
              <w:autoSpaceDE w:val="0"/>
              <w:autoSpaceDN w:val="0"/>
              <w:jc w:val="center"/>
              <w:rPr>
                <w:rFonts w:hint="default" w:ascii="Times New Roman" w:hAnsi="Times New Roman" w:eastAsia="宋体" w:cs="Times New Roman"/>
                <w:color w:val="000000" w:themeColor="text1"/>
                <w:sz w:val="24"/>
                <w:szCs w:val="24"/>
                <w:lang w:eastAsia="en-US"/>
                <w14:textFill>
                  <w14:solidFill>
                    <w14:schemeClr w14:val="tx1"/>
                  </w14:solidFill>
                </w14:textFill>
              </w:rPr>
            </w:pPr>
            <w:r>
              <w:rPr>
                <w:rFonts w:hint="default" w:ascii="Times New Roman" w:hAnsi="Times New Roman" w:eastAsia="宋体" w:cs="Times New Roman"/>
                <w:color w:val="000000" w:themeColor="text1"/>
                <w:sz w:val="24"/>
                <w:szCs w:val="24"/>
                <w:lang w:eastAsia="en-US"/>
                <w14:textFill>
                  <w14:solidFill>
                    <w14:schemeClr w14:val="tx1"/>
                  </w14:solidFill>
                </w14:textFill>
              </w:rPr>
              <w:t>评审因素</w:t>
            </w:r>
          </w:p>
        </w:tc>
        <w:tc>
          <w:tcPr>
            <w:tcW w:w="4305" w:type="pct"/>
            <w:gridSpan w:val="2"/>
            <w:tcBorders>
              <w:right w:val="single" w:color="auto" w:sz="4" w:space="0"/>
            </w:tcBorders>
            <w:vAlign w:val="center"/>
          </w:tcPr>
          <w:p w14:paraId="1112BB21">
            <w:pPr>
              <w:autoSpaceDE w:val="0"/>
              <w:autoSpaceDN w:val="0"/>
              <w:jc w:val="center"/>
              <w:rPr>
                <w:rFonts w:hint="default" w:ascii="Times New Roman" w:hAnsi="Times New Roman" w:eastAsia="宋体" w:cs="Times New Roman"/>
                <w:color w:val="000000" w:themeColor="text1"/>
                <w:sz w:val="24"/>
                <w:szCs w:val="24"/>
                <w:lang w:eastAsia="en-US"/>
                <w14:textFill>
                  <w14:solidFill>
                    <w14:schemeClr w14:val="tx1"/>
                  </w14:solidFill>
                </w14:textFill>
              </w:rPr>
            </w:pPr>
            <w:r>
              <w:rPr>
                <w:rFonts w:hint="default" w:ascii="Times New Roman" w:hAnsi="Times New Roman" w:eastAsia="宋体" w:cs="Times New Roman"/>
                <w:color w:val="000000" w:themeColor="text1"/>
                <w:sz w:val="24"/>
                <w:szCs w:val="24"/>
                <w:lang w:eastAsia="en-US"/>
                <w14:textFill>
                  <w14:solidFill>
                    <w14:schemeClr w14:val="tx1"/>
                  </w14:solidFill>
                </w14:textFill>
              </w:rPr>
              <w:t>评审标准</w:t>
            </w:r>
          </w:p>
        </w:tc>
        <w:tc>
          <w:tcPr>
            <w:tcW w:w="366" w:type="pct"/>
            <w:vMerge w:val="restart"/>
            <w:tcBorders>
              <w:top w:val="single" w:color="auto" w:sz="4" w:space="0"/>
              <w:left w:val="single" w:color="auto" w:sz="4" w:space="0"/>
              <w:right w:val="single" w:color="auto" w:sz="4" w:space="0"/>
            </w:tcBorders>
            <w:vAlign w:val="center"/>
          </w:tcPr>
          <w:p w14:paraId="6595E627">
            <w:pPr>
              <w:tabs>
                <w:tab w:val="left" w:pos="573"/>
              </w:tabs>
              <w:autoSpaceDE w:val="0"/>
              <w:autoSpaceDN w:val="0"/>
              <w:jc w:val="center"/>
              <w:rPr>
                <w:rFonts w:hint="default" w:ascii="Times New Roman" w:hAnsi="Times New Roman" w:eastAsia="宋体" w:cs="Times New Roman"/>
                <w:b/>
                <w:bCs/>
                <w:color w:val="FF0000"/>
                <w:sz w:val="24"/>
                <w:szCs w:val="24"/>
                <w:lang w:eastAsia="en-US"/>
              </w:rPr>
            </w:pPr>
            <w:r>
              <w:rPr>
                <w:rFonts w:hint="default" w:ascii="Times New Roman" w:hAnsi="Times New Roman" w:eastAsia="宋体" w:cs="Times New Roman"/>
                <w:b w:val="0"/>
                <w:bCs w:val="0"/>
                <w:sz w:val="24"/>
                <w:szCs w:val="24"/>
                <w:lang w:eastAsia="en-US"/>
              </w:rPr>
              <w:t>备注</w:t>
            </w:r>
          </w:p>
        </w:tc>
      </w:tr>
      <w:tr w14:paraId="76D19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9" w:hRule="atLeast"/>
          <w:jc w:val="center"/>
        </w:trPr>
        <w:tc>
          <w:tcPr>
            <w:tcW w:w="328" w:type="pct"/>
            <w:vAlign w:val="center"/>
          </w:tcPr>
          <w:p w14:paraId="17F9E326">
            <w:pPr>
              <w:autoSpaceDE w:val="0"/>
              <w:autoSpaceDN w:val="0"/>
              <w:jc w:val="center"/>
              <w:rPr>
                <w:rFonts w:hint="default" w:ascii="Times New Roman" w:hAnsi="Times New Roman" w:eastAsia="宋体" w:cs="Times New Roman"/>
                <w:color w:val="000000" w:themeColor="text1"/>
                <w:sz w:val="24"/>
                <w:szCs w:val="24"/>
                <w:lang w:eastAsia="en-US"/>
                <w14:textFill>
                  <w14:solidFill>
                    <w14:schemeClr w14:val="tx1"/>
                  </w14:solidFill>
                </w14:textFill>
              </w:rPr>
            </w:pPr>
            <w:r>
              <w:rPr>
                <w:rFonts w:hint="default" w:ascii="Times New Roman" w:hAnsi="Times New Roman" w:eastAsia="宋体" w:cs="Times New Roman"/>
                <w:color w:val="000000" w:themeColor="text1"/>
                <w:sz w:val="24"/>
                <w:szCs w:val="24"/>
                <w:lang w:eastAsia="en-US"/>
                <w14:textFill>
                  <w14:solidFill>
                    <w14:schemeClr w14:val="tx1"/>
                  </w14:solidFill>
                </w14:textFill>
              </w:rPr>
              <w:t>分值构成</w:t>
            </w:r>
          </w:p>
        </w:tc>
        <w:tc>
          <w:tcPr>
            <w:tcW w:w="4305" w:type="pct"/>
            <w:gridSpan w:val="2"/>
            <w:tcBorders>
              <w:right w:val="single" w:color="auto" w:sz="4" w:space="0"/>
            </w:tcBorders>
            <w:vAlign w:val="center"/>
          </w:tcPr>
          <w:p w14:paraId="5842B293">
            <w:pPr>
              <w:autoSpaceDE w:val="0"/>
              <w:autoSpaceDN w:val="0"/>
              <w:rPr>
                <w:rFonts w:hint="default" w:ascii="Times New Roman" w:hAnsi="Times New Roman" w:eastAsia="宋体" w:cs="Times New Roman"/>
                <w:color w:val="000000" w:themeColor="text1"/>
                <w:sz w:val="24"/>
                <w:szCs w:val="24"/>
                <w:lang w:eastAsia="en-US"/>
                <w14:textFill>
                  <w14:solidFill>
                    <w14:schemeClr w14:val="tx1"/>
                  </w14:solidFill>
                </w14:textFill>
              </w:rPr>
            </w:pPr>
            <w:r>
              <w:rPr>
                <w:rFonts w:hint="default" w:ascii="Times New Roman" w:hAnsi="Times New Roman" w:eastAsia="宋体" w:cs="Times New Roman"/>
                <w:color w:val="000000" w:themeColor="text1"/>
                <w:sz w:val="24"/>
                <w:szCs w:val="24"/>
                <w:lang w:eastAsia="en-US"/>
                <w14:textFill>
                  <w14:solidFill>
                    <w14:schemeClr w14:val="tx1"/>
                  </w14:solidFill>
                </w14:textFill>
              </w:rPr>
              <w:t>技术部分42.0分</w:t>
            </w:r>
          </w:p>
          <w:p w14:paraId="596E72E6">
            <w:pPr>
              <w:autoSpaceDE w:val="0"/>
              <w:autoSpaceDN w:val="0"/>
              <w:rPr>
                <w:rFonts w:hint="default" w:ascii="Times New Roman" w:hAnsi="Times New Roman" w:eastAsia="宋体" w:cs="Times New Roman"/>
                <w:color w:val="000000" w:themeColor="text1"/>
                <w:sz w:val="24"/>
                <w:szCs w:val="24"/>
                <w:lang w:eastAsia="en-US"/>
                <w14:textFill>
                  <w14:solidFill>
                    <w14:schemeClr w14:val="tx1"/>
                  </w14:solidFill>
                </w14:textFill>
              </w:rPr>
            </w:pPr>
            <w:r>
              <w:rPr>
                <w:rFonts w:hint="default" w:ascii="Times New Roman" w:hAnsi="Times New Roman" w:eastAsia="宋体" w:cs="Times New Roman"/>
                <w:color w:val="000000" w:themeColor="text1"/>
                <w:sz w:val="24"/>
                <w:szCs w:val="24"/>
                <w:lang w:eastAsia="en-US"/>
                <w14:textFill>
                  <w14:solidFill>
                    <w14:schemeClr w14:val="tx1"/>
                  </w14:solidFill>
                </w14:textFill>
              </w:rPr>
              <w:t>商务部分38.0分</w:t>
            </w:r>
          </w:p>
          <w:p w14:paraId="6CB8EE8B">
            <w:pPr>
              <w:autoSpaceDE w:val="0"/>
              <w:autoSpaceDN w:val="0"/>
              <w:rPr>
                <w:rFonts w:hint="default" w:ascii="Times New Roman" w:hAnsi="Times New Roman" w:eastAsia="宋体" w:cs="Times New Roman"/>
                <w:color w:val="000000" w:themeColor="text1"/>
                <w:sz w:val="24"/>
                <w:szCs w:val="24"/>
                <w:lang w:eastAsia="en-US"/>
                <w14:textFill>
                  <w14:solidFill>
                    <w14:schemeClr w14:val="tx1"/>
                  </w14:solidFill>
                </w14:textFill>
              </w:rPr>
            </w:pPr>
            <w:r>
              <w:rPr>
                <w:rFonts w:hint="default" w:ascii="Times New Roman" w:hAnsi="Times New Roman" w:eastAsia="宋体" w:cs="Times New Roman"/>
                <w:color w:val="000000" w:themeColor="text1"/>
                <w:sz w:val="24"/>
                <w:szCs w:val="24"/>
                <w:lang w:eastAsia="en-US"/>
                <w14:textFill>
                  <w14:solidFill>
                    <w14:schemeClr w14:val="tx1"/>
                  </w14:solidFill>
                </w14:textFill>
              </w:rPr>
              <w:t>报价得分20.0分</w:t>
            </w:r>
          </w:p>
        </w:tc>
        <w:tc>
          <w:tcPr>
            <w:tcW w:w="366" w:type="pct"/>
            <w:vMerge w:val="continue"/>
            <w:tcBorders>
              <w:left w:val="single" w:color="auto" w:sz="4" w:space="0"/>
              <w:bottom w:val="single" w:color="auto" w:sz="4" w:space="0"/>
              <w:right w:val="single" w:color="auto" w:sz="4" w:space="0"/>
            </w:tcBorders>
            <w:vAlign w:val="center"/>
          </w:tcPr>
          <w:p w14:paraId="749503AC">
            <w:pPr>
              <w:autoSpaceDE w:val="0"/>
              <w:autoSpaceDN w:val="0"/>
              <w:jc w:val="center"/>
              <w:rPr>
                <w:rFonts w:hint="default" w:ascii="Times New Roman" w:hAnsi="Times New Roman" w:eastAsia="宋体" w:cs="Times New Roman"/>
                <w:b/>
                <w:bCs/>
                <w:color w:val="FF0000"/>
                <w:sz w:val="24"/>
                <w:szCs w:val="24"/>
                <w:lang w:eastAsia="en-US"/>
              </w:rPr>
            </w:pPr>
          </w:p>
        </w:tc>
      </w:tr>
      <w:tr w14:paraId="11A4C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6" w:hRule="atLeast"/>
          <w:jc w:val="center"/>
        </w:trPr>
        <w:tc>
          <w:tcPr>
            <w:tcW w:w="328" w:type="pct"/>
            <w:vMerge w:val="restart"/>
            <w:vAlign w:val="center"/>
          </w:tcPr>
          <w:p w14:paraId="1C77A3E4">
            <w:pPr>
              <w:autoSpaceDE w:val="0"/>
              <w:autoSpaceDN w:val="0"/>
              <w:jc w:val="center"/>
              <w:rPr>
                <w:rFonts w:hint="default" w:ascii="Times New Roman" w:hAnsi="Times New Roman" w:cs="Times New Roman" w:eastAsiaTheme="minorEastAsia"/>
                <w:kern w:val="2"/>
                <w:sz w:val="24"/>
                <w:szCs w:val="24"/>
                <w:highlight w:val="none"/>
                <w:lang w:val="en-US" w:eastAsia="en-US" w:bidi="ar-SA"/>
              </w:rPr>
            </w:pPr>
            <w:r>
              <w:rPr>
                <w:rFonts w:hint="default" w:ascii="Times New Roman" w:hAnsi="Times New Roman" w:cs="Times New Roman" w:eastAsiaTheme="minorEastAsia"/>
                <w:kern w:val="2"/>
                <w:sz w:val="24"/>
                <w:szCs w:val="24"/>
                <w:highlight w:val="none"/>
                <w:lang w:val="en-US" w:eastAsia="zh-CN" w:bidi="ar-SA"/>
              </w:rPr>
              <w:t>技术部分</w:t>
            </w:r>
          </w:p>
        </w:tc>
        <w:tc>
          <w:tcPr>
            <w:tcW w:w="1185" w:type="pct"/>
            <w:vAlign w:val="center"/>
          </w:tcPr>
          <w:p w14:paraId="347E9C59">
            <w:pPr>
              <w:autoSpaceDE w:val="0"/>
              <w:autoSpaceDN w:val="0"/>
              <w:jc w:val="center"/>
              <w:rPr>
                <w:rFonts w:hint="default" w:ascii="Times New Roman" w:hAnsi="Times New Roman" w:cs="Times New Roman" w:eastAsiaTheme="minorEastAsia"/>
                <w:kern w:val="2"/>
                <w:sz w:val="24"/>
                <w:szCs w:val="24"/>
                <w:highlight w:val="none"/>
                <w:lang w:val="en-US" w:eastAsia="en-US" w:bidi="ar-SA"/>
              </w:rPr>
            </w:pPr>
            <w:r>
              <w:rPr>
                <w:rFonts w:hint="default" w:ascii="Times New Roman" w:hAnsi="Times New Roman" w:cs="Times New Roman" w:eastAsiaTheme="minorEastAsia"/>
                <w:kern w:val="2"/>
                <w:sz w:val="24"/>
                <w:szCs w:val="24"/>
                <w:highlight w:val="none"/>
                <w:lang w:val="en-US" w:eastAsia="zh-CN" w:bidi="ar-SA"/>
              </w:rPr>
              <w:t>对项目所在地交通拥堵问题的诊断与分析能力 (12.0分)，（等次分值选择：0.0;5.0;8.0;12.0）</w:t>
            </w:r>
          </w:p>
        </w:tc>
        <w:tc>
          <w:tcPr>
            <w:tcW w:w="3120" w:type="pct"/>
            <w:vAlign w:val="center"/>
          </w:tcPr>
          <w:p w14:paraId="3C58188F">
            <w:pPr>
              <w:autoSpaceDE w:val="0"/>
              <w:autoSpaceDN w:val="0"/>
              <w:jc w:val="both"/>
              <w:rPr>
                <w:rFonts w:hint="default" w:ascii="Times New Roman" w:hAnsi="Times New Roman" w:cs="Times New Roman" w:eastAsiaTheme="minorEastAsia"/>
                <w:kern w:val="2"/>
                <w:sz w:val="24"/>
                <w:szCs w:val="24"/>
                <w:highlight w:val="none"/>
                <w:lang w:val="en-US" w:eastAsia="zh-CN" w:bidi="ar-SA"/>
              </w:rPr>
            </w:pPr>
            <w:r>
              <w:rPr>
                <w:rFonts w:hint="default" w:ascii="Times New Roman" w:hAnsi="Times New Roman" w:cs="Times New Roman" w:eastAsiaTheme="minorEastAsia"/>
                <w:kern w:val="2"/>
                <w:sz w:val="24"/>
                <w:szCs w:val="24"/>
                <w:highlight w:val="none"/>
                <w:lang w:val="en-US" w:eastAsia="zh-CN" w:bidi="ar-SA"/>
              </w:rPr>
              <w:t>考察</w:t>
            </w:r>
            <w:r>
              <w:rPr>
                <w:rFonts w:hint="eastAsia" w:cs="Times New Roman" w:eastAsiaTheme="minorEastAsia"/>
                <w:kern w:val="2"/>
                <w:sz w:val="24"/>
                <w:szCs w:val="24"/>
                <w:highlight w:val="none"/>
                <w:lang w:val="en-US" w:eastAsia="zh-CN" w:bidi="ar-SA"/>
              </w:rPr>
              <w:t>服务</w:t>
            </w:r>
            <w:r>
              <w:rPr>
                <w:rFonts w:hint="default" w:ascii="Times New Roman" w:hAnsi="Times New Roman" w:cs="Times New Roman" w:eastAsiaTheme="minorEastAsia"/>
                <w:kern w:val="2"/>
                <w:sz w:val="24"/>
                <w:szCs w:val="24"/>
                <w:highlight w:val="none"/>
                <w:lang w:val="en-US" w:eastAsia="zh-CN" w:bidi="ar-SA"/>
              </w:rPr>
              <w:t>商对项目所在地城市发展与交通发展关系的理解、对交通拥堵现状的精准识别、对拥堵成因的深入分析以及对未来趋势的科学预判：优：</w:t>
            </w:r>
            <w:r>
              <w:rPr>
                <w:rFonts w:hint="eastAsia" w:cs="Times New Roman" w:eastAsiaTheme="minorEastAsia"/>
                <w:kern w:val="2"/>
                <w:sz w:val="24"/>
                <w:szCs w:val="24"/>
                <w:highlight w:val="none"/>
                <w:lang w:val="en-US" w:eastAsia="zh-CN" w:bidi="ar-SA"/>
              </w:rPr>
              <w:t>服务</w:t>
            </w:r>
            <w:r>
              <w:rPr>
                <w:rFonts w:hint="default" w:ascii="Times New Roman" w:hAnsi="Times New Roman" w:cs="Times New Roman" w:eastAsiaTheme="minorEastAsia"/>
                <w:kern w:val="2"/>
                <w:sz w:val="24"/>
                <w:szCs w:val="24"/>
                <w:highlight w:val="none"/>
                <w:lang w:val="en-US" w:eastAsia="zh-CN" w:bidi="ar-SA"/>
              </w:rPr>
              <w:t>商对东莞市城市发展与交通发展的关系有非常深刻的认识，能精准识别主要拥堵区域、关键廊道及节点的运行特征，能运用多源数据深入剖析拥堵核心成因，对城市交通发展趋势有科学的预判，为治理工作提供扎实的基础，得12分；良：</w:t>
            </w:r>
            <w:r>
              <w:rPr>
                <w:rFonts w:hint="eastAsia" w:cs="Times New Roman" w:eastAsiaTheme="minorEastAsia"/>
                <w:kern w:val="2"/>
                <w:sz w:val="24"/>
                <w:szCs w:val="24"/>
                <w:highlight w:val="none"/>
                <w:lang w:val="en-US" w:eastAsia="zh-CN" w:bidi="ar-SA"/>
              </w:rPr>
              <w:t>服务</w:t>
            </w:r>
            <w:r>
              <w:rPr>
                <w:rFonts w:hint="default" w:ascii="Times New Roman" w:hAnsi="Times New Roman" w:cs="Times New Roman" w:eastAsiaTheme="minorEastAsia"/>
                <w:kern w:val="2"/>
                <w:sz w:val="24"/>
                <w:szCs w:val="24"/>
                <w:highlight w:val="none"/>
                <w:lang w:val="en-US" w:eastAsia="zh-CN" w:bidi="ar-SA"/>
              </w:rPr>
              <w:t>商对东莞市城市交通拥堵问题有较全面的认识，能识别主要拥堵点或路段，有基本的数据分析支撑，对交通发展趋势有一定判断，得8分；中：</w:t>
            </w:r>
            <w:r>
              <w:rPr>
                <w:rFonts w:hint="eastAsia" w:cs="Times New Roman" w:eastAsiaTheme="minorEastAsia"/>
                <w:kern w:val="2"/>
                <w:sz w:val="24"/>
                <w:szCs w:val="24"/>
                <w:highlight w:val="none"/>
                <w:lang w:val="en-US" w:eastAsia="zh-CN" w:bidi="ar-SA"/>
              </w:rPr>
              <w:t>服务</w:t>
            </w:r>
            <w:r>
              <w:rPr>
                <w:rFonts w:hint="default" w:ascii="Times New Roman" w:hAnsi="Times New Roman" w:cs="Times New Roman" w:eastAsiaTheme="minorEastAsia"/>
                <w:kern w:val="2"/>
                <w:sz w:val="24"/>
                <w:szCs w:val="24"/>
                <w:highlight w:val="none"/>
                <w:lang w:val="en-US" w:eastAsia="zh-CN" w:bidi="ar-SA"/>
              </w:rPr>
              <w:t>商对交通拥堵问题的认识较为有限，分析停留在表面，数据支撑不足，成因分析不够深入，得5分</w:t>
            </w:r>
            <w:r>
              <w:rPr>
                <w:rFonts w:hint="eastAsia" w:cs="Times New Roman" w:eastAsiaTheme="minorEastAsia"/>
                <w:kern w:val="2"/>
                <w:sz w:val="24"/>
                <w:szCs w:val="24"/>
                <w:highlight w:val="none"/>
                <w:lang w:val="en-US" w:eastAsia="zh-CN" w:bidi="ar-SA"/>
              </w:rPr>
              <w:t>；</w:t>
            </w:r>
            <w:r>
              <w:rPr>
                <w:rFonts w:hint="default" w:ascii="Times New Roman" w:hAnsi="Times New Roman" w:cs="Times New Roman" w:eastAsiaTheme="minorEastAsia"/>
                <w:kern w:val="2"/>
                <w:sz w:val="24"/>
                <w:szCs w:val="24"/>
                <w:highlight w:val="none"/>
                <w:lang w:val="en-US" w:eastAsia="zh-CN" w:bidi="ar-SA"/>
              </w:rPr>
              <w:t>差：未提供相关内容或分析内容与本次拥堵治理研究工作严重偏离，不得分。</w:t>
            </w:r>
          </w:p>
        </w:tc>
        <w:tc>
          <w:tcPr>
            <w:tcW w:w="366" w:type="pct"/>
            <w:tcBorders>
              <w:top w:val="single" w:color="auto" w:sz="4" w:space="0"/>
            </w:tcBorders>
            <w:vAlign w:val="center"/>
          </w:tcPr>
          <w:p w14:paraId="174CCA7B">
            <w:pPr>
              <w:autoSpaceDE w:val="0"/>
              <w:autoSpaceDN w:val="0"/>
              <w:jc w:val="left"/>
              <w:rPr>
                <w:rFonts w:hint="default" w:ascii="Times New Roman" w:hAnsi="Times New Roman" w:eastAsia="宋体" w:cs="Times New Roman"/>
                <w:b/>
                <w:bCs/>
                <w:color w:val="FF0000"/>
                <w:sz w:val="24"/>
                <w:szCs w:val="24"/>
                <w:lang w:eastAsia="en-US"/>
              </w:rPr>
            </w:pPr>
          </w:p>
        </w:tc>
      </w:tr>
      <w:tr w14:paraId="31C32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80" w:hRule="atLeast"/>
          <w:jc w:val="center"/>
        </w:trPr>
        <w:tc>
          <w:tcPr>
            <w:tcW w:w="328" w:type="pct"/>
            <w:vMerge w:val="continue"/>
            <w:vAlign w:val="center"/>
          </w:tcPr>
          <w:p w14:paraId="1B2047A6">
            <w:pPr>
              <w:autoSpaceDE w:val="0"/>
              <w:autoSpaceDN w:val="0"/>
              <w:jc w:val="center"/>
              <w:rPr>
                <w:rFonts w:hint="default" w:ascii="Times New Roman" w:hAnsi="Times New Roman" w:cs="Times New Roman" w:eastAsiaTheme="minorEastAsia"/>
                <w:kern w:val="2"/>
                <w:sz w:val="24"/>
                <w:szCs w:val="24"/>
                <w:highlight w:val="none"/>
                <w:lang w:val="en-US" w:eastAsia="en-US" w:bidi="ar-SA"/>
              </w:rPr>
            </w:pPr>
          </w:p>
        </w:tc>
        <w:tc>
          <w:tcPr>
            <w:tcW w:w="1185" w:type="pct"/>
            <w:shd w:val="clear" w:color="auto" w:fill="auto"/>
            <w:vAlign w:val="center"/>
          </w:tcPr>
          <w:p w14:paraId="44397257">
            <w:pPr>
              <w:keepNext w:val="0"/>
              <w:keepLines w:val="0"/>
              <w:widowControl/>
              <w:suppressLineNumbers w:val="0"/>
              <w:autoSpaceDE w:val="0"/>
              <w:autoSpaceDN w:val="0"/>
              <w:jc w:val="both"/>
              <w:textAlignment w:val="center"/>
              <w:rPr>
                <w:rFonts w:hint="default" w:ascii="Times New Roman" w:hAnsi="Times New Roman" w:cs="Times New Roman" w:eastAsiaTheme="minorEastAsia"/>
                <w:kern w:val="2"/>
                <w:sz w:val="24"/>
                <w:szCs w:val="24"/>
                <w:highlight w:val="none"/>
                <w:lang w:val="en-US" w:eastAsia="en-US" w:bidi="ar-SA"/>
              </w:rPr>
            </w:pPr>
            <w:r>
              <w:rPr>
                <w:rFonts w:hint="default" w:ascii="Times New Roman" w:hAnsi="Times New Roman" w:cs="Times New Roman" w:eastAsiaTheme="minorEastAsia"/>
                <w:kern w:val="2"/>
                <w:sz w:val="24"/>
                <w:szCs w:val="24"/>
                <w:highlight w:val="none"/>
                <w:lang w:val="en-US" w:eastAsia="zh-CN" w:bidi="ar-SA"/>
              </w:rPr>
              <w:t>对本项目用户需求书理解程度 (12.0分)，（等次分值选择：0.0; 5.0; 8.0; 12.0）</w:t>
            </w:r>
          </w:p>
        </w:tc>
        <w:tc>
          <w:tcPr>
            <w:tcW w:w="3120" w:type="pct"/>
            <w:shd w:val="clear" w:color="auto" w:fill="auto"/>
            <w:vAlign w:val="center"/>
          </w:tcPr>
          <w:p w14:paraId="280FBE4D">
            <w:pPr>
              <w:keepNext w:val="0"/>
              <w:keepLines w:val="0"/>
              <w:widowControl/>
              <w:suppressLineNumbers w:val="0"/>
              <w:autoSpaceDE w:val="0"/>
              <w:autoSpaceDN w:val="0"/>
              <w:jc w:val="both"/>
              <w:textAlignment w:val="center"/>
              <w:rPr>
                <w:rFonts w:hint="default" w:ascii="Times New Roman" w:hAnsi="Times New Roman" w:cs="Times New Roman" w:eastAsiaTheme="minorEastAsia"/>
                <w:kern w:val="2"/>
                <w:sz w:val="24"/>
                <w:szCs w:val="24"/>
                <w:highlight w:val="none"/>
                <w:lang w:val="en-US" w:eastAsia="zh-CN" w:bidi="ar-SA"/>
              </w:rPr>
            </w:pPr>
            <w:r>
              <w:rPr>
                <w:rFonts w:hint="default" w:ascii="Times New Roman" w:hAnsi="Times New Roman" w:cs="Times New Roman" w:eastAsiaTheme="minorEastAsia"/>
                <w:kern w:val="2"/>
                <w:sz w:val="24"/>
                <w:szCs w:val="24"/>
                <w:highlight w:val="none"/>
                <w:lang w:val="en-US" w:eastAsia="zh-CN" w:bidi="ar-SA"/>
              </w:rPr>
              <w:t>考察</w:t>
            </w:r>
            <w:r>
              <w:rPr>
                <w:rFonts w:hint="eastAsia" w:cs="Times New Roman" w:eastAsiaTheme="minorEastAsia"/>
                <w:kern w:val="2"/>
                <w:sz w:val="24"/>
                <w:szCs w:val="24"/>
                <w:highlight w:val="none"/>
                <w:lang w:val="en-US" w:eastAsia="zh-CN" w:bidi="ar-SA"/>
              </w:rPr>
              <w:t>服务</w:t>
            </w:r>
            <w:r>
              <w:rPr>
                <w:rFonts w:hint="default" w:ascii="Times New Roman" w:hAnsi="Times New Roman" w:cs="Times New Roman" w:eastAsiaTheme="minorEastAsia"/>
                <w:kern w:val="2"/>
                <w:sz w:val="24"/>
                <w:szCs w:val="24"/>
                <w:highlight w:val="none"/>
                <w:lang w:val="en-US" w:eastAsia="zh-CN" w:bidi="ar-SA"/>
              </w:rPr>
              <w:t>商对用户需求书中的任务重点、技术难点的把握程度，以及所提出的治理对策的创新性、系统性和可行性，并对治理效果有科学的评估思路：优：</w:t>
            </w:r>
            <w:r>
              <w:rPr>
                <w:rFonts w:hint="eastAsia" w:cs="Times New Roman" w:eastAsiaTheme="minorEastAsia"/>
                <w:kern w:val="2"/>
                <w:sz w:val="24"/>
                <w:szCs w:val="24"/>
                <w:highlight w:val="none"/>
                <w:lang w:val="en-US" w:eastAsia="zh-CN" w:bidi="ar-SA"/>
              </w:rPr>
              <w:t>服务</w:t>
            </w:r>
            <w:r>
              <w:rPr>
                <w:rFonts w:hint="default" w:ascii="Times New Roman" w:hAnsi="Times New Roman" w:cs="Times New Roman" w:eastAsiaTheme="minorEastAsia"/>
                <w:kern w:val="2"/>
                <w:sz w:val="24"/>
                <w:szCs w:val="24"/>
                <w:highlight w:val="none"/>
                <w:lang w:val="en-US" w:eastAsia="zh-CN" w:bidi="ar-SA"/>
              </w:rPr>
              <w:t>商能准确提炼重点任务与关键技术难点，针对每个难点提出创新、系统、可行的解决方案，方案充分结合东莞市实际，实施路径清晰，可操作性强，对治理后的效果有科学的预评估方法，得12分；良：</w:t>
            </w:r>
            <w:r>
              <w:rPr>
                <w:rFonts w:hint="eastAsia" w:cs="Times New Roman" w:eastAsiaTheme="minorEastAsia"/>
                <w:kern w:val="2"/>
                <w:sz w:val="24"/>
                <w:szCs w:val="24"/>
                <w:highlight w:val="none"/>
                <w:lang w:val="en-US" w:eastAsia="zh-CN" w:bidi="ar-SA"/>
              </w:rPr>
              <w:t>服务</w:t>
            </w:r>
            <w:r>
              <w:rPr>
                <w:rFonts w:hint="default" w:ascii="Times New Roman" w:hAnsi="Times New Roman" w:cs="Times New Roman" w:eastAsiaTheme="minorEastAsia"/>
                <w:kern w:val="2"/>
                <w:sz w:val="24"/>
                <w:szCs w:val="24"/>
                <w:highlight w:val="none"/>
                <w:lang w:val="en-US" w:eastAsia="zh-CN" w:bidi="ar-SA"/>
              </w:rPr>
              <w:t>商能把握用户需求书的主要重点难点，提出的解决方案合理可行，对治理效果有基本的考虑，得8分；中：</w:t>
            </w:r>
            <w:r>
              <w:rPr>
                <w:rFonts w:hint="eastAsia" w:cs="Times New Roman" w:eastAsiaTheme="minorEastAsia"/>
                <w:kern w:val="2"/>
                <w:sz w:val="24"/>
                <w:szCs w:val="24"/>
                <w:highlight w:val="none"/>
                <w:lang w:val="en-US" w:eastAsia="zh-CN" w:bidi="ar-SA"/>
              </w:rPr>
              <w:t>服务</w:t>
            </w:r>
            <w:r>
              <w:rPr>
                <w:rFonts w:hint="default" w:ascii="Times New Roman" w:hAnsi="Times New Roman" w:cs="Times New Roman" w:eastAsiaTheme="minorEastAsia"/>
                <w:kern w:val="2"/>
                <w:sz w:val="24"/>
                <w:szCs w:val="24"/>
                <w:highlight w:val="none"/>
                <w:lang w:val="en-US" w:eastAsia="zh-CN" w:bidi="ar-SA"/>
              </w:rPr>
              <w:t>商对重点难点的理解不够深入，解决方案较为笼统，缺乏针对性，得5分；差：未提供相关内容或方案与用户需求书严重偏离，不得分。</w:t>
            </w:r>
          </w:p>
        </w:tc>
        <w:tc>
          <w:tcPr>
            <w:tcW w:w="366" w:type="pct"/>
            <w:vAlign w:val="center"/>
          </w:tcPr>
          <w:p w14:paraId="04432039">
            <w:pPr>
              <w:autoSpaceDE w:val="0"/>
              <w:autoSpaceDN w:val="0"/>
              <w:jc w:val="left"/>
              <w:rPr>
                <w:rFonts w:hint="default" w:ascii="Times New Roman" w:hAnsi="Times New Roman" w:eastAsia="宋体" w:cs="Times New Roman"/>
                <w:b/>
                <w:bCs/>
                <w:color w:val="FF0000"/>
                <w:sz w:val="24"/>
                <w:szCs w:val="24"/>
                <w:lang w:eastAsia="en-US"/>
              </w:rPr>
            </w:pPr>
          </w:p>
        </w:tc>
      </w:tr>
      <w:tr w14:paraId="09E14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3" w:hRule="atLeast"/>
          <w:jc w:val="center"/>
        </w:trPr>
        <w:tc>
          <w:tcPr>
            <w:tcW w:w="328" w:type="pct"/>
            <w:vMerge w:val="continue"/>
            <w:vAlign w:val="center"/>
          </w:tcPr>
          <w:p w14:paraId="4D72DD8F">
            <w:pPr>
              <w:autoSpaceDE w:val="0"/>
              <w:autoSpaceDN w:val="0"/>
              <w:jc w:val="center"/>
              <w:rPr>
                <w:rFonts w:hint="default" w:ascii="Times New Roman" w:hAnsi="Times New Roman" w:cs="Times New Roman" w:eastAsiaTheme="minorEastAsia"/>
                <w:kern w:val="2"/>
                <w:sz w:val="24"/>
                <w:szCs w:val="24"/>
                <w:highlight w:val="none"/>
                <w:lang w:val="en-US" w:eastAsia="en-US" w:bidi="ar-SA"/>
              </w:rPr>
            </w:pPr>
          </w:p>
        </w:tc>
        <w:tc>
          <w:tcPr>
            <w:tcW w:w="1185" w:type="pct"/>
            <w:shd w:val="clear" w:color="auto" w:fill="auto"/>
            <w:vAlign w:val="center"/>
          </w:tcPr>
          <w:p w14:paraId="1D0429AF">
            <w:pPr>
              <w:keepNext w:val="0"/>
              <w:keepLines w:val="0"/>
              <w:widowControl/>
              <w:suppressLineNumbers w:val="0"/>
              <w:autoSpaceDE w:val="0"/>
              <w:autoSpaceDN w:val="0"/>
              <w:jc w:val="both"/>
              <w:textAlignment w:val="center"/>
              <w:rPr>
                <w:rFonts w:hint="default" w:ascii="Times New Roman" w:hAnsi="Times New Roman" w:cs="Times New Roman" w:eastAsiaTheme="minorEastAsia"/>
                <w:kern w:val="2"/>
                <w:sz w:val="24"/>
                <w:szCs w:val="24"/>
                <w:highlight w:val="none"/>
                <w:lang w:val="en-US" w:eastAsia="en-US" w:bidi="ar-SA"/>
              </w:rPr>
            </w:pPr>
            <w:r>
              <w:rPr>
                <w:rFonts w:hint="default" w:ascii="Times New Roman" w:hAnsi="Times New Roman" w:cs="Times New Roman" w:eastAsiaTheme="minorEastAsia"/>
                <w:kern w:val="2"/>
                <w:sz w:val="24"/>
                <w:szCs w:val="24"/>
                <w:highlight w:val="none"/>
                <w:lang w:val="en-US" w:eastAsia="zh-CN" w:bidi="ar-SA"/>
              </w:rPr>
              <w:t>项目计划和工作安排(10.0分)，（等次分值选择：0.0;4.0;8.0; 10.0）</w:t>
            </w:r>
          </w:p>
        </w:tc>
        <w:tc>
          <w:tcPr>
            <w:tcW w:w="3120" w:type="pct"/>
            <w:shd w:val="clear" w:color="auto" w:fill="auto"/>
            <w:vAlign w:val="center"/>
          </w:tcPr>
          <w:p w14:paraId="33A4B952">
            <w:pPr>
              <w:keepNext w:val="0"/>
              <w:keepLines w:val="0"/>
              <w:widowControl/>
              <w:suppressLineNumbers w:val="0"/>
              <w:autoSpaceDE w:val="0"/>
              <w:autoSpaceDN w:val="0"/>
              <w:jc w:val="both"/>
              <w:textAlignment w:val="center"/>
              <w:rPr>
                <w:rFonts w:hint="default" w:ascii="Times New Roman" w:hAnsi="Times New Roman" w:cs="Times New Roman" w:eastAsiaTheme="minorEastAsia"/>
                <w:kern w:val="2"/>
                <w:sz w:val="24"/>
                <w:szCs w:val="24"/>
                <w:highlight w:val="none"/>
                <w:lang w:val="en-US" w:eastAsia="en-US" w:bidi="ar-SA"/>
              </w:rPr>
            </w:pPr>
            <w:r>
              <w:rPr>
                <w:rFonts w:hint="default" w:ascii="Times New Roman" w:hAnsi="Times New Roman" w:cs="Times New Roman" w:eastAsiaTheme="minorEastAsia"/>
                <w:kern w:val="2"/>
                <w:sz w:val="24"/>
                <w:szCs w:val="24"/>
                <w:highlight w:val="none"/>
                <w:lang w:val="en-US" w:eastAsia="zh-CN" w:bidi="ar-SA"/>
              </w:rPr>
              <w:t>根据</w:t>
            </w:r>
            <w:r>
              <w:rPr>
                <w:rFonts w:hint="eastAsia" w:cs="Times New Roman" w:eastAsiaTheme="minorEastAsia"/>
                <w:kern w:val="2"/>
                <w:sz w:val="24"/>
                <w:szCs w:val="24"/>
                <w:highlight w:val="none"/>
                <w:lang w:val="en-US" w:eastAsia="zh-CN" w:bidi="ar-SA"/>
              </w:rPr>
              <w:t>服务</w:t>
            </w:r>
            <w:r>
              <w:rPr>
                <w:rFonts w:hint="default" w:ascii="Times New Roman" w:hAnsi="Times New Roman" w:cs="Times New Roman" w:eastAsiaTheme="minorEastAsia"/>
                <w:kern w:val="2"/>
                <w:sz w:val="24"/>
                <w:szCs w:val="24"/>
                <w:highlight w:val="none"/>
                <w:lang w:val="en-US" w:eastAsia="zh-CN" w:bidi="ar-SA"/>
              </w:rPr>
              <w:t>商对项目时间、人员安排的合理性和服务质量进行评审</w:t>
            </w:r>
            <w:r>
              <w:rPr>
                <w:rFonts w:hint="eastAsia" w:cs="Times New Roman" w:eastAsiaTheme="minorEastAsia"/>
                <w:kern w:val="2"/>
                <w:sz w:val="24"/>
                <w:szCs w:val="24"/>
                <w:highlight w:val="none"/>
                <w:lang w:val="en-US" w:eastAsia="zh-CN" w:bidi="ar-SA"/>
              </w:rPr>
              <w:t>；</w:t>
            </w:r>
            <w:r>
              <w:rPr>
                <w:rFonts w:hint="default" w:ascii="Times New Roman" w:hAnsi="Times New Roman" w:cs="Times New Roman" w:eastAsiaTheme="minorEastAsia"/>
                <w:kern w:val="2"/>
                <w:sz w:val="24"/>
                <w:szCs w:val="24"/>
                <w:highlight w:val="none"/>
                <w:lang w:val="en-US" w:eastAsia="zh-CN" w:bidi="ar-SA"/>
              </w:rPr>
              <w:t>优：时间、人员安排具体、合理、可行，有完善的保障工作质量的措施和风险应对方案，得10分</w:t>
            </w:r>
            <w:r>
              <w:rPr>
                <w:rFonts w:hint="eastAsia" w:cs="Times New Roman" w:eastAsiaTheme="minorEastAsia"/>
                <w:kern w:val="2"/>
                <w:sz w:val="24"/>
                <w:szCs w:val="24"/>
                <w:highlight w:val="none"/>
                <w:lang w:val="en-US" w:eastAsia="zh-CN" w:bidi="ar-SA"/>
              </w:rPr>
              <w:t>；</w:t>
            </w:r>
            <w:r>
              <w:rPr>
                <w:rFonts w:hint="default" w:ascii="Times New Roman" w:hAnsi="Times New Roman" w:cs="Times New Roman" w:eastAsiaTheme="minorEastAsia"/>
                <w:kern w:val="2"/>
                <w:sz w:val="24"/>
                <w:szCs w:val="24"/>
                <w:highlight w:val="none"/>
                <w:lang w:val="en-US" w:eastAsia="zh-CN" w:bidi="ar-SA"/>
              </w:rPr>
              <w:t>良：时间、人员安排较为具体、合理、可行，有较为完善的保障工作质量的措施和风险应对方案，得8分；中：时间、人员安排可行性一般，保障工作质量的措施和风险应对方案可行性一般，得4分</w:t>
            </w:r>
            <w:r>
              <w:rPr>
                <w:rFonts w:hint="eastAsia" w:cs="Times New Roman" w:eastAsiaTheme="minorEastAsia"/>
                <w:kern w:val="2"/>
                <w:sz w:val="24"/>
                <w:szCs w:val="24"/>
                <w:highlight w:val="none"/>
                <w:lang w:val="en-US" w:eastAsia="zh-CN" w:bidi="ar-SA"/>
              </w:rPr>
              <w:t>；</w:t>
            </w:r>
            <w:r>
              <w:rPr>
                <w:rFonts w:hint="default" w:ascii="Times New Roman" w:hAnsi="Times New Roman" w:cs="Times New Roman" w:eastAsiaTheme="minorEastAsia"/>
                <w:kern w:val="2"/>
                <w:sz w:val="24"/>
                <w:szCs w:val="24"/>
                <w:highlight w:val="none"/>
                <w:lang w:val="en-US" w:eastAsia="zh-CN" w:bidi="ar-SA"/>
              </w:rPr>
              <w:t>差：未提供对应方案不得分。</w:t>
            </w:r>
          </w:p>
        </w:tc>
        <w:tc>
          <w:tcPr>
            <w:tcW w:w="366" w:type="pct"/>
            <w:vAlign w:val="center"/>
          </w:tcPr>
          <w:p w14:paraId="69743F07">
            <w:pPr>
              <w:autoSpaceDE w:val="0"/>
              <w:autoSpaceDN w:val="0"/>
              <w:jc w:val="left"/>
              <w:rPr>
                <w:rFonts w:hint="default" w:ascii="Times New Roman" w:hAnsi="Times New Roman" w:eastAsia="宋体" w:cs="Times New Roman"/>
                <w:b/>
                <w:bCs/>
                <w:color w:val="FF0000"/>
                <w:sz w:val="24"/>
                <w:szCs w:val="24"/>
                <w:lang w:eastAsia="en-US"/>
              </w:rPr>
            </w:pPr>
          </w:p>
        </w:tc>
      </w:tr>
      <w:tr w14:paraId="5A480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3" w:hRule="atLeast"/>
          <w:jc w:val="center"/>
        </w:trPr>
        <w:tc>
          <w:tcPr>
            <w:tcW w:w="328" w:type="pct"/>
            <w:vMerge w:val="continue"/>
            <w:vAlign w:val="center"/>
          </w:tcPr>
          <w:p w14:paraId="715612A1">
            <w:pPr>
              <w:autoSpaceDE w:val="0"/>
              <w:autoSpaceDN w:val="0"/>
              <w:jc w:val="center"/>
              <w:rPr>
                <w:rFonts w:hint="default" w:ascii="Times New Roman" w:hAnsi="Times New Roman" w:cs="Times New Roman" w:eastAsiaTheme="minorEastAsia"/>
                <w:kern w:val="2"/>
                <w:sz w:val="24"/>
                <w:szCs w:val="24"/>
                <w:highlight w:val="none"/>
                <w:lang w:val="en-US" w:eastAsia="en-US" w:bidi="ar-SA"/>
              </w:rPr>
            </w:pPr>
          </w:p>
        </w:tc>
        <w:tc>
          <w:tcPr>
            <w:tcW w:w="1185" w:type="pct"/>
            <w:shd w:val="clear" w:color="auto" w:fill="auto"/>
            <w:vAlign w:val="center"/>
          </w:tcPr>
          <w:p w14:paraId="2515984D">
            <w:pPr>
              <w:keepNext w:val="0"/>
              <w:keepLines w:val="0"/>
              <w:widowControl/>
              <w:suppressLineNumbers w:val="0"/>
              <w:autoSpaceDE w:val="0"/>
              <w:autoSpaceDN w:val="0"/>
              <w:jc w:val="both"/>
              <w:textAlignment w:val="center"/>
              <w:rPr>
                <w:rFonts w:hint="default" w:ascii="Times New Roman" w:hAnsi="Times New Roman" w:cs="Times New Roman" w:eastAsiaTheme="minorEastAsia"/>
                <w:kern w:val="2"/>
                <w:sz w:val="24"/>
                <w:szCs w:val="24"/>
                <w:highlight w:val="none"/>
                <w:lang w:val="en-US" w:eastAsia="en-US" w:bidi="ar-SA"/>
              </w:rPr>
            </w:pPr>
            <w:r>
              <w:rPr>
                <w:rFonts w:hint="default" w:ascii="Times New Roman" w:hAnsi="Times New Roman" w:cs="Times New Roman" w:eastAsiaTheme="minorEastAsia"/>
                <w:kern w:val="2"/>
                <w:sz w:val="24"/>
                <w:szCs w:val="24"/>
                <w:highlight w:val="none"/>
                <w:lang w:val="en-US" w:eastAsia="zh-CN" w:bidi="ar-SA"/>
              </w:rPr>
              <w:t>项目负责人与拟投入本项目参与人员资历 (8.0分)</w:t>
            </w:r>
          </w:p>
        </w:tc>
        <w:tc>
          <w:tcPr>
            <w:tcW w:w="3120" w:type="pct"/>
            <w:shd w:val="clear" w:color="auto" w:fill="auto"/>
            <w:vAlign w:val="center"/>
          </w:tcPr>
          <w:p w14:paraId="4CF3E278">
            <w:pPr>
              <w:keepNext w:val="0"/>
              <w:keepLines w:val="0"/>
              <w:widowControl/>
              <w:suppressLineNumbers w:val="0"/>
              <w:autoSpaceDE w:val="0"/>
              <w:autoSpaceDN w:val="0"/>
              <w:jc w:val="both"/>
              <w:textAlignment w:val="center"/>
              <w:rPr>
                <w:rFonts w:hint="default" w:ascii="Times New Roman" w:hAnsi="Times New Roman" w:cs="Times New Roman" w:eastAsiaTheme="minorEastAsia"/>
                <w:kern w:val="2"/>
                <w:sz w:val="24"/>
                <w:szCs w:val="24"/>
                <w:highlight w:val="none"/>
                <w:lang w:val="en-US" w:eastAsia="en-US" w:bidi="ar-SA"/>
              </w:rPr>
            </w:pPr>
            <w:r>
              <w:rPr>
                <w:rFonts w:hint="default" w:ascii="Times New Roman" w:hAnsi="Times New Roman" w:cs="Times New Roman" w:eastAsiaTheme="minorEastAsia"/>
                <w:kern w:val="2"/>
                <w:sz w:val="24"/>
                <w:szCs w:val="24"/>
                <w:highlight w:val="none"/>
                <w:lang w:val="en-US" w:eastAsia="zh-CN" w:bidi="ar-SA"/>
              </w:rPr>
              <w:t>（1）投入本项目项目负责人（1人）：同时具有高级工程师职称和注册咨询工程师资格得3分；（2）投入本项目项目其他人员（除项目负责人）：具有注册城市规划师或注册工程咨询师资格证的，每个得1分，最高5分。(须提供以上人员的有效证书复印件。）</w:t>
            </w:r>
          </w:p>
        </w:tc>
        <w:tc>
          <w:tcPr>
            <w:tcW w:w="366" w:type="pct"/>
            <w:vAlign w:val="center"/>
          </w:tcPr>
          <w:p w14:paraId="1C89AA8E">
            <w:pPr>
              <w:autoSpaceDE w:val="0"/>
              <w:autoSpaceDN w:val="0"/>
              <w:jc w:val="left"/>
              <w:rPr>
                <w:rFonts w:hint="default" w:ascii="Times New Roman" w:hAnsi="Times New Roman" w:eastAsia="宋体" w:cs="Times New Roman"/>
                <w:b/>
                <w:bCs/>
                <w:color w:val="FF0000"/>
                <w:sz w:val="24"/>
                <w:szCs w:val="24"/>
                <w:lang w:eastAsia="en-US"/>
              </w:rPr>
            </w:pPr>
          </w:p>
        </w:tc>
      </w:tr>
      <w:tr w14:paraId="367AE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5" w:hRule="atLeast"/>
          <w:jc w:val="center"/>
        </w:trPr>
        <w:tc>
          <w:tcPr>
            <w:tcW w:w="328" w:type="pct"/>
            <w:vMerge w:val="restart"/>
            <w:vAlign w:val="center"/>
          </w:tcPr>
          <w:p w14:paraId="40C380CC">
            <w:pPr>
              <w:keepNext w:val="0"/>
              <w:keepLines w:val="0"/>
              <w:widowControl/>
              <w:suppressLineNumbers w:val="0"/>
              <w:autoSpaceDE w:val="0"/>
              <w:autoSpaceDN w:val="0"/>
              <w:jc w:val="center"/>
              <w:textAlignment w:val="center"/>
              <w:rPr>
                <w:rFonts w:hint="default" w:ascii="Times New Roman" w:hAnsi="Times New Roman" w:cs="Times New Roman" w:eastAsiaTheme="minorEastAsia"/>
                <w:kern w:val="2"/>
                <w:sz w:val="24"/>
                <w:szCs w:val="24"/>
                <w:highlight w:val="none"/>
                <w:lang w:val="en-US" w:eastAsia="en-US" w:bidi="ar-SA"/>
              </w:rPr>
            </w:pPr>
            <w:r>
              <w:rPr>
                <w:rFonts w:hint="eastAsia" w:ascii="Times New Roman" w:hAnsi="Times New Roman" w:cs="Times New Roman" w:eastAsiaTheme="minorEastAsia"/>
                <w:kern w:val="2"/>
                <w:sz w:val="24"/>
                <w:szCs w:val="24"/>
                <w:highlight w:val="none"/>
                <w:lang w:val="en-US" w:eastAsia="zh-CN" w:bidi="ar-SA"/>
              </w:rPr>
              <w:t>商务部分</w:t>
            </w:r>
          </w:p>
        </w:tc>
        <w:tc>
          <w:tcPr>
            <w:tcW w:w="1185" w:type="pct"/>
            <w:vAlign w:val="center"/>
          </w:tcPr>
          <w:p w14:paraId="2725366A">
            <w:pPr>
              <w:keepNext w:val="0"/>
              <w:keepLines w:val="0"/>
              <w:widowControl/>
              <w:suppressLineNumbers w:val="0"/>
              <w:autoSpaceDE w:val="0"/>
              <w:autoSpaceDN w:val="0"/>
              <w:jc w:val="both"/>
              <w:textAlignment w:val="center"/>
              <w:rPr>
                <w:rFonts w:hint="default" w:ascii="Times New Roman" w:hAnsi="Times New Roman" w:cs="Times New Roman" w:eastAsiaTheme="minorEastAsia"/>
                <w:kern w:val="2"/>
                <w:sz w:val="24"/>
                <w:szCs w:val="24"/>
                <w:highlight w:val="none"/>
                <w:lang w:val="en-US" w:eastAsia="en-US" w:bidi="ar-SA"/>
              </w:rPr>
            </w:pPr>
            <w:r>
              <w:rPr>
                <w:rFonts w:hint="eastAsia" w:ascii="Times New Roman" w:hAnsi="Times New Roman" w:cs="Times New Roman" w:eastAsiaTheme="minorEastAsia"/>
                <w:kern w:val="2"/>
                <w:sz w:val="24"/>
                <w:szCs w:val="24"/>
                <w:highlight w:val="none"/>
                <w:lang w:val="en-US" w:eastAsia="zh-CN" w:bidi="ar-SA"/>
              </w:rPr>
              <w:t>认证体系</w:t>
            </w:r>
            <w:r>
              <w:rPr>
                <w:rFonts w:hint="default" w:ascii="Times New Roman" w:hAnsi="Times New Roman" w:cs="Times New Roman" w:eastAsiaTheme="minorEastAsia"/>
                <w:kern w:val="2"/>
                <w:sz w:val="24"/>
                <w:szCs w:val="24"/>
                <w:highlight w:val="none"/>
                <w:lang w:val="en-US" w:eastAsia="zh-CN" w:bidi="ar-SA"/>
              </w:rPr>
              <w:t xml:space="preserve"> (3.0</w:t>
            </w:r>
            <w:r>
              <w:rPr>
                <w:rFonts w:hint="eastAsia" w:ascii="Times New Roman" w:hAnsi="Times New Roman" w:cs="Times New Roman" w:eastAsiaTheme="minorEastAsia"/>
                <w:kern w:val="2"/>
                <w:sz w:val="24"/>
                <w:szCs w:val="24"/>
                <w:highlight w:val="none"/>
                <w:lang w:val="en-US" w:eastAsia="zh-CN" w:bidi="ar-SA"/>
              </w:rPr>
              <w:t>分</w:t>
            </w:r>
            <w:r>
              <w:rPr>
                <w:rFonts w:hint="default" w:ascii="Times New Roman" w:hAnsi="Times New Roman" w:cs="Times New Roman" w:eastAsiaTheme="minorEastAsia"/>
                <w:kern w:val="2"/>
                <w:sz w:val="24"/>
                <w:szCs w:val="24"/>
                <w:highlight w:val="none"/>
                <w:lang w:val="en-US" w:eastAsia="zh-CN" w:bidi="ar-SA"/>
              </w:rPr>
              <w:t>)</w:t>
            </w:r>
            <w:r>
              <w:rPr>
                <w:rFonts w:hint="eastAsia" w:ascii="Times New Roman" w:hAnsi="Times New Roman" w:cs="Times New Roman" w:eastAsiaTheme="minorEastAsia"/>
                <w:kern w:val="2"/>
                <w:sz w:val="24"/>
                <w:szCs w:val="24"/>
                <w:highlight w:val="none"/>
                <w:lang w:val="en-US" w:eastAsia="zh-CN" w:bidi="ar-SA"/>
              </w:rPr>
              <w:t>，（等次分值选择：</w:t>
            </w:r>
            <w:r>
              <w:rPr>
                <w:rFonts w:hint="default" w:ascii="Times New Roman" w:hAnsi="Times New Roman" w:cs="Times New Roman" w:eastAsiaTheme="minorEastAsia"/>
                <w:kern w:val="2"/>
                <w:sz w:val="24"/>
                <w:szCs w:val="24"/>
                <w:highlight w:val="none"/>
                <w:lang w:val="en-US" w:eastAsia="zh-CN" w:bidi="ar-SA"/>
              </w:rPr>
              <w:t>0.0; 1.0; 2.0; 3.0</w:t>
            </w:r>
            <w:r>
              <w:rPr>
                <w:rFonts w:hint="eastAsia" w:ascii="Times New Roman" w:hAnsi="Times New Roman" w:cs="Times New Roman" w:eastAsiaTheme="minorEastAsia"/>
                <w:kern w:val="2"/>
                <w:sz w:val="24"/>
                <w:szCs w:val="24"/>
                <w:highlight w:val="none"/>
                <w:lang w:val="en-US" w:eastAsia="zh-CN" w:bidi="ar-SA"/>
              </w:rPr>
              <w:t>）</w:t>
            </w:r>
          </w:p>
        </w:tc>
        <w:tc>
          <w:tcPr>
            <w:tcW w:w="3120" w:type="pct"/>
            <w:vAlign w:val="center"/>
          </w:tcPr>
          <w:p w14:paraId="677500C9">
            <w:pPr>
              <w:keepNext w:val="0"/>
              <w:keepLines w:val="0"/>
              <w:widowControl/>
              <w:suppressLineNumbers w:val="0"/>
              <w:autoSpaceDE w:val="0"/>
              <w:autoSpaceDN w:val="0"/>
              <w:jc w:val="both"/>
              <w:textAlignment w:val="center"/>
              <w:rPr>
                <w:rFonts w:hint="default" w:ascii="Times New Roman" w:hAnsi="Times New Roman" w:cs="Times New Roman" w:eastAsiaTheme="minorEastAsia"/>
                <w:kern w:val="2"/>
                <w:sz w:val="24"/>
                <w:szCs w:val="24"/>
                <w:highlight w:val="none"/>
                <w:lang w:val="en-US" w:eastAsia="en-US" w:bidi="ar-SA"/>
              </w:rPr>
            </w:pPr>
            <w:r>
              <w:rPr>
                <w:rFonts w:hint="eastAsia" w:cs="Times New Roman" w:eastAsiaTheme="minorEastAsia"/>
                <w:kern w:val="2"/>
                <w:sz w:val="24"/>
                <w:szCs w:val="24"/>
                <w:highlight w:val="none"/>
                <w:lang w:val="en-US" w:eastAsia="zh-CN" w:bidi="ar-SA"/>
              </w:rPr>
              <w:t>服务</w:t>
            </w:r>
            <w:r>
              <w:rPr>
                <w:rFonts w:hint="eastAsia" w:ascii="Times New Roman" w:hAnsi="Times New Roman" w:cs="Times New Roman" w:eastAsiaTheme="minorEastAsia"/>
                <w:kern w:val="2"/>
                <w:sz w:val="24"/>
                <w:szCs w:val="24"/>
                <w:highlight w:val="none"/>
                <w:lang w:val="en-US" w:eastAsia="zh-CN" w:bidi="ar-SA"/>
              </w:rPr>
              <w:t>商具有由国家认证认可监督管理部门批准设立的认证机构颁发并在有效期内的质量管理体系认证证书、环境管理体系认证证书、职业健康管理体系认证证书的，每提供一项证书得</w:t>
            </w:r>
            <w:r>
              <w:rPr>
                <w:rFonts w:hint="default" w:ascii="Times New Roman" w:hAnsi="Times New Roman" w:cs="Times New Roman" w:eastAsiaTheme="minorEastAsia"/>
                <w:kern w:val="2"/>
                <w:sz w:val="24"/>
                <w:szCs w:val="24"/>
                <w:highlight w:val="none"/>
                <w:lang w:val="en-US" w:eastAsia="zh-CN" w:bidi="ar-SA"/>
              </w:rPr>
              <w:t>1</w:t>
            </w:r>
            <w:r>
              <w:rPr>
                <w:rFonts w:hint="eastAsia" w:ascii="Times New Roman" w:hAnsi="Times New Roman" w:cs="Times New Roman" w:eastAsiaTheme="minorEastAsia"/>
                <w:kern w:val="2"/>
                <w:sz w:val="24"/>
                <w:szCs w:val="24"/>
                <w:highlight w:val="none"/>
                <w:lang w:val="en-US" w:eastAsia="zh-CN" w:bidi="ar-SA"/>
              </w:rPr>
              <w:t>分，最高得</w:t>
            </w:r>
            <w:r>
              <w:rPr>
                <w:rFonts w:hint="default" w:ascii="Times New Roman" w:hAnsi="Times New Roman" w:cs="Times New Roman" w:eastAsiaTheme="minorEastAsia"/>
                <w:kern w:val="2"/>
                <w:sz w:val="24"/>
                <w:szCs w:val="24"/>
                <w:highlight w:val="none"/>
                <w:lang w:val="en-US" w:eastAsia="zh-CN" w:bidi="ar-SA"/>
              </w:rPr>
              <w:t>3</w:t>
            </w:r>
            <w:r>
              <w:rPr>
                <w:rFonts w:hint="eastAsia" w:ascii="Times New Roman" w:hAnsi="Times New Roman" w:cs="Times New Roman" w:eastAsiaTheme="minorEastAsia"/>
                <w:kern w:val="2"/>
                <w:sz w:val="24"/>
                <w:szCs w:val="24"/>
                <w:highlight w:val="none"/>
                <w:lang w:val="en-US" w:eastAsia="zh-CN" w:bidi="ar-SA"/>
              </w:rPr>
              <w:t>分。（须提供证书复印件并加盖</w:t>
            </w:r>
            <w:r>
              <w:rPr>
                <w:rFonts w:hint="eastAsia" w:cs="Times New Roman" w:eastAsiaTheme="minorEastAsia"/>
                <w:kern w:val="2"/>
                <w:sz w:val="24"/>
                <w:szCs w:val="24"/>
                <w:highlight w:val="none"/>
                <w:lang w:val="en-US" w:eastAsia="zh-CN" w:bidi="ar-SA"/>
              </w:rPr>
              <w:t>服务</w:t>
            </w:r>
            <w:r>
              <w:rPr>
                <w:rFonts w:hint="eastAsia" w:ascii="Times New Roman" w:hAnsi="Times New Roman" w:cs="Times New Roman" w:eastAsiaTheme="minorEastAsia"/>
                <w:kern w:val="2"/>
                <w:sz w:val="24"/>
                <w:szCs w:val="24"/>
                <w:highlight w:val="none"/>
                <w:lang w:val="en-US" w:eastAsia="zh-CN" w:bidi="ar-SA"/>
              </w:rPr>
              <w:t>商公章。）</w:t>
            </w:r>
          </w:p>
        </w:tc>
        <w:tc>
          <w:tcPr>
            <w:tcW w:w="366" w:type="pct"/>
            <w:vAlign w:val="center"/>
          </w:tcPr>
          <w:p w14:paraId="4C8B5ECD">
            <w:pPr>
              <w:autoSpaceDE w:val="0"/>
              <w:autoSpaceDN w:val="0"/>
              <w:jc w:val="left"/>
              <w:rPr>
                <w:rFonts w:hint="default" w:ascii="Times New Roman" w:hAnsi="Times New Roman" w:eastAsia="宋体" w:cs="Times New Roman"/>
                <w:b/>
                <w:bCs/>
                <w:color w:val="FF0000"/>
                <w:sz w:val="24"/>
                <w:szCs w:val="24"/>
                <w:lang w:eastAsia="en-US"/>
              </w:rPr>
            </w:pPr>
          </w:p>
        </w:tc>
      </w:tr>
      <w:tr w14:paraId="06941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80" w:hRule="atLeast"/>
          <w:jc w:val="center"/>
        </w:trPr>
        <w:tc>
          <w:tcPr>
            <w:tcW w:w="328" w:type="pct"/>
            <w:vMerge w:val="continue"/>
            <w:vAlign w:val="center"/>
          </w:tcPr>
          <w:p w14:paraId="17FC30D2">
            <w:pPr>
              <w:autoSpaceDE w:val="0"/>
              <w:autoSpaceDN w:val="0"/>
              <w:jc w:val="center"/>
              <w:rPr>
                <w:rFonts w:hint="default" w:ascii="Times New Roman" w:hAnsi="Times New Roman" w:cs="Times New Roman" w:eastAsiaTheme="minorEastAsia"/>
                <w:kern w:val="2"/>
                <w:sz w:val="24"/>
                <w:szCs w:val="24"/>
                <w:highlight w:val="none"/>
                <w:lang w:val="en-US" w:eastAsia="en-US" w:bidi="ar-SA"/>
              </w:rPr>
            </w:pPr>
          </w:p>
        </w:tc>
        <w:tc>
          <w:tcPr>
            <w:tcW w:w="1185" w:type="pct"/>
            <w:vAlign w:val="center"/>
          </w:tcPr>
          <w:p w14:paraId="0651167F">
            <w:pPr>
              <w:keepNext w:val="0"/>
              <w:keepLines w:val="0"/>
              <w:widowControl/>
              <w:suppressLineNumbers w:val="0"/>
              <w:autoSpaceDE w:val="0"/>
              <w:autoSpaceDN w:val="0"/>
              <w:jc w:val="center"/>
              <w:textAlignment w:val="center"/>
              <w:rPr>
                <w:rFonts w:hint="default" w:ascii="Times New Roman" w:hAnsi="Times New Roman" w:cs="Times New Roman" w:eastAsiaTheme="minorEastAsia"/>
                <w:kern w:val="2"/>
                <w:sz w:val="24"/>
                <w:szCs w:val="24"/>
                <w:highlight w:val="none"/>
                <w:lang w:val="en-US" w:eastAsia="en-US" w:bidi="ar-SA"/>
              </w:rPr>
            </w:pPr>
            <w:r>
              <w:rPr>
                <w:rFonts w:hint="eastAsia" w:ascii="Times New Roman" w:hAnsi="Times New Roman" w:cs="Times New Roman" w:eastAsiaTheme="minorEastAsia"/>
                <w:kern w:val="2"/>
                <w:sz w:val="24"/>
                <w:szCs w:val="24"/>
                <w:highlight w:val="none"/>
                <w:lang w:val="en-US" w:eastAsia="zh-CN" w:bidi="ar-SA"/>
              </w:rPr>
              <w:t>获奖情况</w:t>
            </w:r>
            <w:r>
              <w:rPr>
                <w:rFonts w:hint="default" w:ascii="Times New Roman" w:hAnsi="Times New Roman" w:cs="Times New Roman" w:eastAsiaTheme="minorEastAsia"/>
                <w:kern w:val="2"/>
                <w:sz w:val="24"/>
                <w:szCs w:val="24"/>
                <w:highlight w:val="none"/>
                <w:lang w:val="en-US" w:eastAsia="zh-CN" w:bidi="ar-SA"/>
              </w:rPr>
              <w:t xml:space="preserve"> (10.0</w:t>
            </w:r>
            <w:r>
              <w:rPr>
                <w:rFonts w:hint="eastAsia" w:ascii="Times New Roman" w:hAnsi="Times New Roman" w:cs="Times New Roman" w:eastAsiaTheme="minorEastAsia"/>
                <w:kern w:val="2"/>
                <w:sz w:val="24"/>
                <w:szCs w:val="24"/>
                <w:highlight w:val="none"/>
                <w:lang w:val="en-US" w:eastAsia="zh-CN" w:bidi="ar-SA"/>
              </w:rPr>
              <w:t>分</w:t>
            </w:r>
            <w:r>
              <w:rPr>
                <w:rFonts w:hint="default" w:ascii="Times New Roman" w:hAnsi="Times New Roman" w:cs="Times New Roman" w:eastAsiaTheme="minorEastAsia"/>
                <w:kern w:val="2"/>
                <w:sz w:val="24"/>
                <w:szCs w:val="24"/>
                <w:highlight w:val="none"/>
                <w:lang w:val="en-US" w:eastAsia="zh-CN" w:bidi="ar-SA"/>
              </w:rPr>
              <w:t>)</w:t>
            </w:r>
          </w:p>
        </w:tc>
        <w:tc>
          <w:tcPr>
            <w:tcW w:w="3120" w:type="pct"/>
            <w:vAlign w:val="center"/>
          </w:tcPr>
          <w:p w14:paraId="66E94541">
            <w:pPr>
              <w:keepNext w:val="0"/>
              <w:keepLines w:val="0"/>
              <w:widowControl/>
              <w:suppressLineNumbers w:val="0"/>
              <w:autoSpaceDE w:val="0"/>
              <w:autoSpaceDN w:val="0"/>
              <w:jc w:val="both"/>
              <w:textAlignment w:val="center"/>
              <w:rPr>
                <w:rFonts w:hint="default" w:ascii="Times New Roman" w:hAnsi="Times New Roman" w:cs="Times New Roman" w:eastAsiaTheme="minorEastAsia"/>
                <w:kern w:val="2"/>
                <w:sz w:val="24"/>
                <w:szCs w:val="24"/>
                <w:highlight w:val="none"/>
                <w:lang w:val="en-US" w:eastAsia="en-US" w:bidi="ar-SA"/>
              </w:rPr>
            </w:pPr>
            <w:r>
              <w:rPr>
                <w:rFonts w:hint="default" w:ascii="Times New Roman" w:hAnsi="Times New Roman" w:cs="Times New Roman" w:eastAsiaTheme="minorEastAsia"/>
                <w:kern w:val="2"/>
                <w:sz w:val="24"/>
                <w:szCs w:val="24"/>
                <w:highlight w:val="none"/>
                <w:lang w:val="en-US" w:eastAsia="zh-CN" w:bidi="ar-SA"/>
              </w:rPr>
              <w:t>1</w:t>
            </w:r>
            <w:r>
              <w:rPr>
                <w:rFonts w:hint="eastAsia" w:ascii="Times New Roman" w:hAnsi="Times New Roman" w:cs="Times New Roman" w:eastAsiaTheme="minorEastAsia"/>
                <w:kern w:val="2"/>
                <w:sz w:val="24"/>
                <w:szCs w:val="24"/>
                <w:highlight w:val="none"/>
                <w:lang w:val="en-US" w:eastAsia="zh-CN" w:bidi="ar-SA"/>
              </w:rPr>
              <w:t>、</w:t>
            </w:r>
            <w:r>
              <w:rPr>
                <w:rFonts w:hint="eastAsia" w:cs="Times New Roman" w:eastAsiaTheme="minorEastAsia"/>
                <w:kern w:val="2"/>
                <w:sz w:val="24"/>
                <w:szCs w:val="24"/>
                <w:highlight w:val="none"/>
                <w:lang w:val="en-US" w:eastAsia="zh-CN" w:bidi="ar-SA"/>
              </w:rPr>
              <w:t>服务</w:t>
            </w:r>
            <w:r>
              <w:rPr>
                <w:rFonts w:hint="eastAsia" w:ascii="Times New Roman" w:hAnsi="Times New Roman" w:cs="Times New Roman" w:eastAsiaTheme="minorEastAsia"/>
                <w:kern w:val="2"/>
                <w:sz w:val="24"/>
                <w:szCs w:val="24"/>
                <w:highlight w:val="none"/>
                <w:lang w:val="en-US" w:eastAsia="zh-CN" w:bidi="ar-SA"/>
              </w:rPr>
              <w:t>商自</w:t>
            </w:r>
            <w:r>
              <w:rPr>
                <w:rFonts w:hint="default" w:ascii="Times New Roman" w:hAnsi="Times New Roman" w:cs="Times New Roman" w:eastAsiaTheme="minorEastAsia"/>
                <w:kern w:val="2"/>
                <w:sz w:val="24"/>
                <w:szCs w:val="24"/>
                <w:highlight w:val="none"/>
                <w:lang w:val="en-US" w:eastAsia="zh-CN" w:bidi="ar-SA"/>
              </w:rPr>
              <w:t>201</w:t>
            </w:r>
            <w:r>
              <w:rPr>
                <w:rFonts w:hint="eastAsia" w:cs="Times New Roman" w:eastAsiaTheme="minorEastAsia"/>
                <w:kern w:val="2"/>
                <w:sz w:val="24"/>
                <w:szCs w:val="24"/>
                <w:highlight w:val="none"/>
                <w:lang w:val="en-US" w:eastAsia="zh-CN" w:bidi="ar-SA"/>
              </w:rPr>
              <w:t>6</w:t>
            </w:r>
            <w:r>
              <w:rPr>
                <w:rFonts w:hint="eastAsia" w:ascii="Times New Roman" w:hAnsi="Times New Roman" w:cs="Times New Roman" w:eastAsiaTheme="minorEastAsia"/>
                <w:kern w:val="2"/>
                <w:sz w:val="24"/>
                <w:szCs w:val="24"/>
                <w:highlight w:val="none"/>
                <w:lang w:val="en-US" w:eastAsia="zh-CN" w:bidi="ar-SA"/>
              </w:rPr>
              <w:t>年</w:t>
            </w:r>
            <w:r>
              <w:rPr>
                <w:rFonts w:hint="default" w:ascii="Times New Roman" w:hAnsi="Times New Roman" w:cs="Times New Roman" w:eastAsiaTheme="minorEastAsia"/>
                <w:kern w:val="2"/>
                <w:sz w:val="24"/>
                <w:szCs w:val="24"/>
                <w:highlight w:val="none"/>
                <w:lang w:val="en-US" w:eastAsia="zh-CN" w:bidi="ar-SA"/>
              </w:rPr>
              <w:t>1</w:t>
            </w:r>
            <w:r>
              <w:rPr>
                <w:rFonts w:hint="eastAsia" w:ascii="Times New Roman" w:hAnsi="Times New Roman" w:cs="Times New Roman" w:eastAsiaTheme="minorEastAsia"/>
                <w:kern w:val="2"/>
                <w:sz w:val="24"/>
                <w:szCs w:val="24"/>
                <w:highlight w:val="none"/>
                <w:lang w:val="en-US" w:eastAsia="zh-CN" w:bidi="ar-SA"/>
              </w:rPr>
              <w:t>月</w:t>
            </w:r>
            <w:r>
              <w:rPr>
                <w:rFonts w:hint="default" w:ascii="Times New Roman" w:hAnsi="Times New Roman" w:cs="Times New Roman" w:eastAsiaTheme="minorEastAsia"/>
                <w:kern w:val="2"/>
                <w:sz w:val="24"/>
                <w:szCs w:val="24"/>
                <w:highlight w:val="none"/>
                <w:lang w:val="en-US" w:eastAsia="zh-CN" w:bidi="ar-SA"/>
              </w:rPr>
              <w:t>1</w:t>
            </w:r>
            <w:r>
              <w:rPr>
                <w:rFonts w:hint="eastAsia" w:ascii="Times New Roman" w:hAnsi="Times New Roman" w:cs="Times New Roman" w:eastAsiaTheme="minorEastAsia"/>
                <w:kern w:val="2"/>
                <w:sz w:val="24"/>
                <w:szCs w:val="24"/>
                <w:highlight w:val="none"/>
                <w:lang w:val="en-US" w:eastAsia="zh-CN" w:bidi="ar-SA"/>
              </w:rPr>
              <w:t>日至今承担的城乡规划或交通规划类项目，获得过省级（或以上）优秀城乡规划设计奖项，一等奖</w:t>
            </w:r>
            <w:r>
              <w:rPr>
                <w:rFonts w:hint="default" w:ascii="Times New Roman" w:hAnsi="Times New Roman" w:cs="Times New Roman" w:eastAsiaTheme="minorEastAsia"/>
                <w:kern w:val="2"/>
                <w:sz w:val="24"/>
                <w:szCs w:val="24"/>
                <w:highlight w:val="none"/>
                <w:lang w:val="en-US" w:eastAsia="zh-CN" w:bidi="ar-SA"/>
              </w:rPr>
              <w:t>(</w:t>
            </w:r>
            <w:r>
              <w:rPr>
                <w:rFonts w:hint="eastAsia" w:ascii="Times New Roman" w:hAnsi="Times New Roman" w:cs="Times New Roman" w:eastAsiaTheme="minorEastAsia"/>
                <w:kern w:val="2"/>
                <w:sz w:val="24"/>
                <w:szCs w:val="24"/>
                <w:highlight w:val="none"/>
                <w:lang w:val="en-US" w:eastAsia="zh-CN" w:bidi="ar-SA"/>
              </w:rPr>
              <w:t>或以上）每个得</w:t>
            </w:r>
            <w:r>
              <w:rPr>
                <w:rFonts w:hint="default" w:ascii="Times New Roman" w:hAnsi="Times New Roman" w:cs="Times New Roman" w:eastAsiaTheme="minorEastAsia"/>
                <w:kern w:val="2"/>
                <w:sz w:val="24"/>
                <w:szCs w:val="24"/>
                <w:highlight w:val="none"/>
                <w:lang w:val="en-US" w:eastAsia="zh-CN" w:bidi="ar-SA"/>
              </w:rPr>
              <w:t>2</w:t>
            </w:r>
            <w:r>
              <w:rPr>
                <w:rFonts w:hint="eastAsia" w:ascii="Times New Roman" w:hAnsi="Times New Roman" w:cs="Times New Roman" w:eastAsiaTheme="minorEastAsia"/>
                <w:kern w:val="2"/>
                <w:sz w:val="24"/>
                <w:szCs w:val="24"/>
                <w:highlight w:val="none"/>
                <w:lang w:val="en-US" w:eastAsia="zh-CN" w:bidi="ar-SA"/>
              </w:rPr>
              <w:t>分，二等奖每个得</w:t>
            </w:r>
            <w:r>
              <w:rPr>
                <w:rFonts w:hint="default" w:ascii="Times New Roman" w:hAnsi="Times New Roman" w:cs="Times New Roman" w:eastAsiaTheme="minorEastAsia"/>
                <w:kern w:val="2"/>
                <w:sz w:val="24"/>
                <w:szCs w:val="24"/>
                <w:highlight w:val="none"/>
                <w:lang w:val="en-US" w:eastAsia="zh-CN" w:bidi="ar-SA"/>
              </w:rPr>
              <w:t>1</w:t>
            </w:r>
            <w:r>
              <w:rPr>
                <w:rFonts w:hint="eastAsia" w:ascii="Times New Roman" w:hAnsi="Times New Roman" w:cs="Times New Roman" w:eastAsiaTheme="minorEastAsia"/>
                <w:kern w:val="2"/>
                <w:sz w:val="24"/>
                <w:szCs w:val="24"/>
                <w:highlight w:val="none"/>
                <w:lang w:val="en-US" w:eastAsia="zh-CN" w:bidi="ar-SA"/>
              </w:rPr>
              <w:t>分</w:t>
            </w:r>
            <w:r>
              <w:rPr>
                <w:rFonts w:hint="default" w:ascii="Times New Roman" w:hAnsi="Times New Roman" w:cs="Times New Roman" w:eastAsiaTheme="minorEastAsia"/>
                <w:kern w:val="2"/>
                <w:sz w:val="24"/>
                <w:szCs w:val="24"/>
                <w:highlight w:val="none"/>
                <w:lang w:val="en-US" w:eastAsia="zh-CN" w:bidi="ar-SA"/>
              </w:rPr>
              <w:t>,</w:t>
            </w:r>
            <w:r>
              <w:rPr>
                <w:rFonts w:hint="eastAsia" w:ascii="Times New Roman" w:hAnsi="Times New Roman" w:cs="Times New Roman" w:eastAsiaTheme="minorEastAsia"/>
                <w:kern w:val="2"/>
                <w:sz w:val="24"/>
                <w:szCs w:val="24"/>
                <w:highlight w:val="none"/>
                <w:lang w:val="en-US" w:eastAsia="zh-CN" w:bidi="ar-SA"/>
              </w:rPr>
              <w:t>三等奖</w:t>
            </w:r>
            <w:r>
              <w:rPr>
                <w:rFonts w:hint="default" w:ascii="Times New Roman" w:hAnsi="Times New Roman" w:cs="Times New Roman" w:eastAsiaTheme="minorEastAsia"/>
                <w:kern w:val="2"/>
                <w:sz w:val="24"/>
                <w:szCs w:val="24"/>
                <w:highlight w:val="none"/>
                <w:lang w:val="en-US" w:eastAsia="zh-CN" w:bidi="ar-SA"/>
              </w:rPr>
              <w:t>(</w:t>
            </w:r>
            <w:r>
              <w:rPr>
                <w:rFonts w:hint="eastAsia" w:ascii="Times New Roman" w:hAnsi="Times New Roman" w:cs="Times New Roman" w:eastAsiaTheme="minorEastAsia"/>
                <w:kern w:val="2"/>
                <w:sz w:val="24"/>
                <w:szCs w:val="24"/>
                <w:highlight w:val="none"/>
                <w:lang w:val="en-US" w:eastAsia="zh-CN" w:bidi="ar-SA"/>
              </w:rPr>
              <w:t>或以下</w:t>
            </w:r>
            <w:r>
              <w:rPr>
                <w:rFonts w:hint="default" w:ascii="Times New Roman" w:hAnsi="Times New Roman" w:cs="Times New Roman" w:eastAsiaTheme="minorEastAsia"/>
                <w:kern w:val="2"/>
                <w:sz w:val="24"/>
                <w:szCs w:val="24"/>
                <w:highlight w:val="none"/>
                <w:lang w:val="en-US" w:eastAsia="zh-CN" w:bidi="ar-SA"/>
              </w:rPr>
              <w:t>)</w:t>
            </w:r>
            <w:r>
              <w:rPr>
                <w:rFonts w:hint="eastAsia" w:ascii="Times New Roman" w:hAnsi="Times New Roman" w:cs="Times New Roman" w:eastAsiaTheme="minorEastAsia"/>
                <w:kern w:val="2"/>
                <w:sz w:val="24"/>
                <w:szCs w:val="24"/>
                <w:highlight w:val="none"/>
                <w:lang w:val="en-US" w:eastAsia="zh-CN" w:bidi="ar-SA"/>
              </w:rPr>
              <w:t>每个得</w:t>
            </w:r>
            <w:r>
              <w:rPr>
                <w:rFonts w:hint="default" w:ascii="Times New Roman" w:hAnsi="Times New Roman" w:cs="Times New Roman" w:eastAsiaTheme="minorEastAsia"/>
                <w:kern w:val="2"/>
                <w:sz w:val="24"/>
                <w:szCs w:val="24"/>
                <w:highlight w:val="none"/>
                <w:lang w:val="en-US" w:eastAsia="zh-CN" w:bidi="ar-SA"/>
              </w:rPr>
              <w:t>0.5</w:t>
            </w:r>
            <w:r>
              <w:rPr>
                <w:rFonts w:hint="eastAsia" w:ascii="Times New Roman" w:hAnsi="Times New Roman" w:cs="Times New Roman" w:eastAsiaTheme="minorEastAsia"/>
                <w:kern w:val="2"/>
                <w:sz w:val="24"/>
                <w:szCs w:val="24"/>
                <w:highlight w:val="none"/>
                <w:lang w:val="en-US" w:eastAsia="zh-CN" w:bidi="ar-SA"/>
              </w:rPr>
              <w:t>分，最高得</w:t>
            </w:r>
            <w:r>
              <w:rPr>
                <w:rFonts w:hint="default" w:ascii="Times New Roman" w:hAnsi="Times New Roman" w:cs="Times New Roman" w:eastAsiaTheme="minorEastAsia"/>
                <w:kern w:val="2"/>
                <w:sz w:val="24"/>
                <w:szCs w:val="24"/>
                <w:highlight w:val="none"/>
                <w:lang w:val="en-US" w:eastAsia="zh-CN" w:bidi="ar-SA"/>
              </w:rPr>
              <w:t>6</w:t>
            </w:r>
            <w:r>
              <w:rPr>
                <w:rFonts w:hint="eastAsia" w:ascii="Times New Roman" w:hAnsi="Times New Roman" w:cs="Times New Roman" w:eastAsiaTheme="minorEastAsia"/>
                <w:kern w:val="2"/>
                <w:sz w:val="24"/>
                <w:szCs w:val="24"/>
                <w:highlight w:val="none"/>
                <w:lang w:val="en-US" w:eastAsia="zh-CN" w:bidi="ar-SA"/>
              </w:rPr>
              <w:t>分；</w:t>
            </w:r>
            <w:r>
              <w:rPr>
                <w:rFonts w:hint="default" w:ascii="Times New Roman" w:hAnsi="Times New Roman" w:cs="Times New Roman" w:eastAsiaTheme="minorEastAsia"/>
                <w:kern w:val="2"/>
                <w:sz w:val="24"/>
                <w:szCs w:val="24"/>
                <w:highlight w:val="none"/>
                <w:lang w:val="en-US" w:eastAsia="zh-CN" w:bidi="ar-SA"/>
              </w:rPr>
              <w:t>2</w:t>
            </w:r>
            <w:r>
              <w:rPr>
                <w:rFonts w:hint="eastAsia" w:ascii="Times New Roman" w:hAnsi="Times New Roman" w:cs="Times New Roman" w:eastAsiaTheme="minorEastAsia"/>
                <w:kern w:val="2"/>
                <w:sz w:val="24"/>
                <w:szCs w:val="24"/>
                <w:highlight w:val="none"/>
                <w:lang w:val="en-US" w:eastAsia="zh-CN" w:bidi="ar-SA"/>
              </w:rPr>
              <w:t>、</w:t>
            </w:r>
            <w:r>
              <w:rPr>
                <w:rFonts w:hint="eastAsia" w:cs="Times New Roman" w:eastAsiaTheme="minorEastAsia"/>
                <w:kern w:val="2"/>
                <w:sz w:val="24"/>
                <w:szCs w:val="24"/>
                <w:highlight w:val="none"/>
                <w:lang w:val="en-US" w:eastAsia="zh-CN" w:bidi="ar-SA"/>
              </w:rPr>
              <w:t>服务</w:t>
            </w:r>
            <w:r>
              <w:rPr>
                <w:rFonts w:hint="eastAsia" w:ascii="Times New Roman" w:hAnsi="Times New Roman" w:cs="Times New Roman" w:eastAsiaTheme="minorEastAsia"/>
                <w:kern w:val="2"/>
                <w:sz w:val="24"/>
                <w:szCs w:val="24"/>
                <w:highlight w:val="none"/>
                <w:lang w:val="en-US" w:eastAsia="zh-CN" w:bidi="ar-SA"/>
              </w:rPr>
              <w:t>商自</w:t>
            </w:r>
            <w:r>
              <w:rPr>
                <w:rFonts w:hint="default" w:ascii="Times New Roman" w:hAnsi="Times New Roman" w:cs="Times New Roman" w:eastAsiaTheme="minorEastAsia"/>
                <w:kern w:val="2"/>
                <w:sz w:val="24"/>
                <w:szCs w:val="24"/>
                <w:highlight w:val="none"/>
                <w:lang w:val="en-US" w:eastAsia="zh-CN" w:bidi="ar-SA"/>
              </w:rPr>
              <w:t>201</w:t>
            </w:r>
            <w:r>
              <w:rPr>
                <w:rFonts w:hint="eastAsia" w:cs="Times New Roman" w:eastAsiaTheme="minorEastAsia"/>
                <w:kern w:val="2"/>
                <w:sz w:val="24"/>
                <w:szCs w:val="24"/>
                <w:highlight w:val="none"/>
                <w:lang w:val="en-US" w:eastAsia="zh-CN" w:bidi="ar-SA"/>
              </w:rPr>
              <w:t>6</w:t>
            </w:r>
            <w:r>
              <w:rPr>
                <w:rFonts w:hint="eastAsia" w:ascii="Times New Roman" w:hAnsi="Times New Roman" w:cs="Times New Roman" w:eastAsiaTheme="minorEastAsia"/>
                <w:kern w:val="2"/>
                <w:sz w:val="24"/>
                <w:szCs w:val="24"/>
                <w:highlight w:val="none"/>
                <w:lang w:val="en-US" w:eastAsia="zh-CN" w:bidi="ar-SA"/>
              </w:rPr>
              <w:t>年</w:t>
            </w:r>
            <w:r>
              <w:rPr>
                <w:rFonts w:hint="default" w:ascii="Times New Roman" w:hAnsi="Times New Roman" w:cs="Times New Roman" w:eastAsiaTheme="minorEastAsia"/>
                <w:kern w:val="2"/>
                <w:sz w:val="24"/>
                <w:szCs w:val="24"/>
                <w:highlight w:val="none"/>
                <w:lang w:val="en-US" w:eastAsia="zh-CN" w:bidi="ar-SA"/>
              </w:rPr>
              <w:t>1</w:t>
            </w:r>
            <w:r>
              <w:rPr>
                <w:rFonts w:hint="eastAsia" w:ascii="Times New Roman" w:hAnsi="Times New Roman" w:cs="Times New Roman" w:eastAsiaTheme="minorEastAsia"/>
                <w:kern w:val="2"/>
                <w:sz w:val="24"/>
                <w:szCs w:val="24"/>
                <w:highlight w:val="none"/>
                <w:lang w:val="en-US" w:eastAsia="zh-CN" w:bidi="ar-SA"/>
              </w:rPr>
              <w:t>月</w:t>
            </w:r>
            <w:r>
              <w:rPr>
                <w:rFonts w:hint="default" w:ascii="Times New Roman" w:hAnsi="Times New Roman" w:cs="Times New Roman" w:eastAsiaTheme="minorEastAsia"/>
                <w:kern w:val="2"/>
                <w:sz w:val="24"/>
                <w:szCs w:val="24"/>
                <w:highlight w:val="none"/>
                <w:lang w:val="en-US" w:eastAsia="zh-CN" w:bidi="ar-SA"/>
              </w:rPr>
              <w:t>1</w:t>
            </w:r>
            <w:r>
              <w:rPr>
                <w:rFonts w:hint="eastAsia" w:ascii="Times New Roman" w:hAnsi="Times New Roman" w:cs="Times New Roman" w:eastAsiaTheme="minorEastAsia"/>
                <w:kern w:val="2"/>
                <w:sz w:val="24"/>
                <w:szCs w:val="24"/>
                <w:highlight w:val="none"/>
                <w:lang w:val="en-US" w:eastAsia="zh-CN" w:bidi="ar-SA"/>
              </w:rPr>
              <w:t>日至今承担的交通规划类项目，获得过行业协会颁发一等奖</w:t>
            </w:r>
            <w:r>
              <w:rPr>
                <w:rFonts w:hint="default" w:ascii="Times New Roman" w:hAnsi="Times New Roman" w:cs="Times New Roman" w:eastAsiaTheme="minorEastAsia"/>
                <w:kern w:val="2"/>
                <w:sz w:val="24"/>
                <w:szCs w:val="24"/>
                <w:highlight w:val="none"/>
                <w:lang w:val="en-US" w:eastAsia="zh-CN" w:bidi="ar-SA"/>
              </w:rPr>
              <w:t>(</w:t>
            </w:r>
            <w:r>
              <w:rPr>
                <w:rFonts w:hint="eastAsia" w:ascii="Times New Roman" w:hAnsi="Times New Roman" w:cs="Times New Roman" w:eastAsiaTheme="minorEastAsia"/>
                <w:kern w:val="2"/>
                <w:sz w:val="24"/>
                <w:szCs w:val="24"/>
                <w:highlight w:val="none"/>
                <w:lang w:val="en-US" w:eastAsia="zh-CN" w:bidi="ar-SA"/>
              </w:rPr>
              <w:t>或以上）每个得</w:t>
            </w:r>
            <w:r>
              <w:rPr>
                <w:rFonts w:hint="default" w:ascii="Times New Roman" w:hAnsi="Times New Roman" w:cs="Times New Roman" w:eastAsiaTheme="minorEastAsia"/>
                <w:kern w:val="2"/>
                <w:sz w:val="24"/>
                <w:szCs w:val="24"/>
                <w:highlight w:val="none"/>
                <w:lang w:val="en-US" w:eastAsia="zh-CN" w:bidi="ar-SA"/>
              </w:rPr>
              <w:t>1.5</w:t>
            </w:r>
            <w:r>
              <w:rPr>
                <w:rFonts w:hint="eastAsia" w:ascii="Times New Roman" w:hAnsi="Times New Roman" w:cs="Times New Roman" w:eastAsiaTheme="minorEastAsia"/>
                <w:kern w:val="2"/>
                <w:sz w:val="24"/>
                <w:szCs w:val="24"/>
                <w:highlight w:val="none"/>
                <w:lang w:val="en-US" w:eastAsia="zh-CN" w:bidi="ar-SA"/>
              </w:rPr>
              <w:t>分，二等奖每个得</w:t>
            </w:r>
            <w:r>
              <w:rPr>
                <w:rFonts w:hint="default" w:ascii="Times New Roman" w:hAnsi="Times New Roman" w:cs="Times New Roman" w:eastAsiaTheme="minorEastAsia"/>
                <w:kern w:val="2"/>
                <w:sz w:val="24"/>
                <w:szCs w:val="24"/>
                <w:highlight w:val="none"/>
                <w:lang w:val="en-US" w:eastAsia="zh-CN" w:bidi="ar-SA"/>
              </w:rPr>
              <w:t>1</w:t>
            </w:r>
            <w:r>
              <w:rPr>
                <w:rFonts w:hint="eastAsia" w:ascii="Times New Roman" w:hAnsi="Times New Roman" w:cs="Times New Roman" w:eastAsiaTheme="minorEastAsia"/>
                <w:kern w:val="2"/>
                <w:sz w:val="24"/>
                <w:szCs w:val="24"/>
                <w:highlight w:val="none"/>
                <w:lang w:val="en-US" w:eastAsia="zh-CN" w:bidi="ar-SA"/>
              </w:rPr>
              <w:t>分，三等奖（或以下）每个得</w:t>
            </w:r>
            <w:r>
              <w:rPr>
                <w:rFonts w:hint="default" w:ascii="Times New Roman" w:hAnsi="Times New Roman" w:cs="Times New Roman" w:eastAsiaTheme="minorEastAsia"/>
                <w:kern w:val="2"/>
                <w:sz w:val="24"/>
                <w:szCs w:val="24"/>
                <w:highlight w:val="none"/>
                <w:lang w:val="en-US" w:eastAsia="zh-CN" w:bidi="ar-SA"/>
              </w:rPr>
              <w:t>0.5</w:t>
            </w:r>
            <w:r>
              <w:rPr>
                <w:rFonts w:hint="eastAsia" w:ascii="Times New Roman" w:hAnsi="Times New Roman" w:cs="Times New Roman" w:eastAsiaTheme="minorEastAsia"/>
                <w:kern w:val="2"/>
                <w:sz w:val="24"/>
                <w:szCs w:val="24"/>
                <w:highlight w:val="none"/>
                <w:lang w:val="en-US" w:eastAsia="zh-CN" w:bidi="ar-SA"/>
              </w:rPr>
              <w:t>分，最高得</w:t>
            </w:r>
            <w:r>
              <w:rPr>
                <w:rFonts w:hint="default" w:ascii="Times New Roman" w:hAnsi="Times New Roman" w:cs="Times New Roman" w:eastAsiaTheme="minorEastAsia"/>
                <w:kern w:val="2"/>
                <w:sz w:val="24"/>
                <w:szCs w:val="24"/>
                <w:highlight w:val="none"/>
                <w:lang w:val="en-US" w:eastAsia="zh-CN" w:bidi="ar-SA"/>
              </w:rPr>
              <w:t>4</w:t>
            </w:r>
            <w:r>
              <w:rPr>
                <w:rFonts w:hint="eastAsia" w:ascii="Times New Roman" w:hAnsi="Times New Roman" w:cs="Times New Roman" w:eastAsiaTheme="minorEastAsia"/>
                <w:kern w:val="2"/>
                <w:sz w:val="24"/>
                <w:szCs w:val="24"/>
                <w:highlight w:val="none"/>
                <w:lang w:val="en-US" w:eastAsia="zh-CN" w:bidi="ar-SA"/>
              </w:rPr>
              <w:t>分。（以获奖时间为准，须提供有效的证书复印件加盖公章）</w:t>
            </w:r>
          </w:p>
        </w:tc>
        <w:tc>
          <w:tcPr>
            <w:tcW w:w="366" w:type="pct"/>
            <w:vAlign w:val="center"/>
          </w:tcPr>
          <w:p w14:paraId="6AB4BA32">
            <w:pPr>
              <w:numPr>
                <w:ilvl w:val="255"/>
                <w:numId w:val="0"/>
              </w:numPr>
              <w:autoSpaceDE w:val="0"/>
              <w:autoSpaceDN w:val="0"/>
              <w:jc w:val="left"/>
              <w:rPr>
                <w:rFonts w:hint="default" w:ascii="Times New Roman" w:hAnsi="Times New Roman" w:eastAsia="宋体" w:cs="Times New Roman"/>
                <w:b/>
                <w:bCs/>
                <w:color w:val="FF0000"/>
                <w:sz w:val="24"/>
                <w:szCs w:val="24"/>
                <w:lang w:eastAsia="en-US"/>
              </w:rPr>
            </w:pPr>
          </w:p>
        </w:tc>
      </w:tr>
      <w:tr w14:paraId="16A31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jc w:val="center"/>
        </w:trPr>
        <w:tc>
          <w:tcPr>
            <w:tcW w:w="328" w:type="pct"/>
            <w:vMerge w:val="continue"/>
            <w:vAlign w:val="center"/>
          </w:tcPr>
          <w:p w14:paraId="1569D066">
            <w:pPr>
              <w:autoSpaceDE w:val="0"/>
              <w:autoSpaceDN w:val="0"/>
              <w:jc w:val="center"/>
              <w:rPr>
                <w:rFonts w:hint="default" w:ascii="Times New Roman" w:hAnsi="Times New Roman" w:cs="Times New Roman" w:eastAsiaTheme="minorEastAsia"/>
                <w:kern w:val="2"/>
                <w:sz w:val="24"/>
                <w:szCs w:val="24"/>
                <w:highlight w:val="none"/>
                <w:lang w:val="en-US" w:eastAsia="en-US" w:bidi="ar-SA"/>
              </w:rPr>
            </w:pPr>
          </w:p>
        </w:tc>
        <w:tc>
          <w:tcPr>
            <w:tcW w:w="1185" w:type="pct"/>
            <w:vAlign w:val="center"/>
          </w:tcPr>
          <w:p w14:paraId="7C39A3A4">
            <w:pPr>
              <w:keepNext w:val="0"/>
              <w:keepLines w:val="0"/>
              <w:widowControl/>
              <w:suppressLineNumbers w:val="0"/>
              <w:autoSpaceDE w:val="0"/>
              <w:autoSpaceDN w:val="0"/>
              <w:jc w:val="center"/>
              <w:textAlignment w:val="center"/>
              <w:rPr>
                <w:rFonts w:hint="default" w:ascii="Times New Roman" w:hAnsi="Times New Roman" w:cs="Times New Roman" w:eastAsiaTheme="minorEastAsia"/>
                <w:kern w:val="2"/>
                <w:sz w:val="24"/>
                <w:szCs w:val="24"/>
                <w:highlight w:val="none"/>
                <w:lang w:val="en-US" w:eastAsia="en-US" w:bidi="ar-SA"/>
              </w:rPr>
            </w:pPr>
            <w:r>
              <w:rPr>
                <w:rFonts w:hint="eastAsia" w:ascii="Times New Roman" w:hAnsi="Times New Roman" w:cs="Times New Roman" w:eastAsiaTheme="minorEastAsia"/>
                <w:kern w:val="2"/>
                <w:sz w:val="24"/>
                <w:szCs w:val="24"/>
                <w:highlight w:val="none"/>
                <w:lang w:val="en-US" w:eastAsia="zh-CN" w:bidi="ar-SA"/>
              </w:rPr>
              <w:t>同类业绩</w:t>
            </w:r>
            <w:r>
              <w:rPr>
                <w:rFonts w:hint="default" w:ascii="Times New Roman" w:hAnsi="Times New Roman" w:cs="Times New Roman" w:eastAsiaTheme="minorEastAsia"/>
                <w:kern w:val="2"/>
                <w:sz w:val="24"/>
                <w:szCs w:val="24"/>
                <w:highlight w:val="none"/>
                <w:lang w:val="en-US" w:eastAsia="zh-CN" w:bidi="ar-SA"/>
              </w:rPr>
              <w:t xml:space="preserve"> (20.0</w:t>
            </w:r>
            <w:r>
              <w:rPr>
                <w:rFonts w:hint="eastAsia" w:ascii="Times New Roman" w:hAnsi="Times New Roman" w:cs="Times New Roman" w:eastAsiaTheme="minorEastAsia"/>
                <w:kern w:val="2"/>
                <w:sz w:val="24"/>
                <w:szCs w:val="24"/>
                <w:highlight w:val="none"/>
                <w:lang w:val="en-US" w:eastAsia="zh-CN" w:bidi="ar-SA"/>
              </w:rPr>
              <w:t>分</w:t>
            </w:r>
            <w:r>
              <w:rPr>
                <w:rFonts w:hint="default" w:ascii="Times New Roman" w:hAnsi="Times New Roman" w:cs="Times New Roman" w:eastAsiaTheme="minorEastAsia"/>
                <w:kern w:val="2"/>
                <w:sz w:val="24"/>
                <w:szCs w:val="24"/>
                <w:highlight w:val="none"/>
                <w:lang w:val="en-US" w:eastAsia="zh-CN" w:bidi="ar-SA"/>
              </w:rPr>
              <w:t>)</w:t>
            </w:r>
          </w:p>
        </w:tc>
        <w:tc>
          <w:tcPr>
            <w:tcW w:w="3120" w:type="pct"/>
            <w:vAlign w:val="center"/>
          </w:tcPr>
          <w:p w14:paraId="064ECED7">
            <w:pPr>
              <w:keepNext w:val="0"/>
              <w:keepLines w:val="0"/>
              <w:widowControl/>
              <w:suppressLineNumbers w:val="0"/>
              <w:autoSpaceDE w:val="0"/>
              <w:autoSpaceDN w:val="0"/>
              <w:jc w:val="both"/>
              <w:textAlignment w:val="center"/>
              <w:rPr>
                <w:rFonts w:hint="default" w:ascii="Times New Roman" w:hAnsi="Times New Roman" w:cs="Times New Roman" w:eastAsiaTheme="minorEastAsia"/>
                <w:kern w:val="2"/>
                <w:sz w:val="24"/>
                <w:szCs w:val="24"/>
                <w:highlight w:val="none"/>
                <w:lang w:val="en-US" w:eastAsia="en-US" w:bidi="ar-SA"/>
              </w:rPr>
            </w:pPr>
            <w:r>
              <w:rPr>
                <w:rFonts w:hint="eastAsia" w:ascii="Times New Roman" w:hAnsi="Times New Roman" w:cs="Times New Roman" w:eastAsiaTheme="minorEastAsia"/>
                <w:kern w:val="2"/>
                <w:sz w:val="24"/>
                <w:szCs w:val="24"/>
                <w:highlight w:val="none"/>
                <w:lang w:val="en-US" w:eastAsia="zh-CN" w:bidi="ar-SA"/>
              </w:rPr>
              <w:t>近五年（以合同签订时间为准），</w:t>
            </w:r>
            <w:r>
              <w:rPr>
                <w:rFonts w:hint="eastAsia" w:cs="Times New Roman" w:eastAsiaTheme="minorEastAsia"/>
                <w:kern w:val="2"/>
                <w:sz w:val="24"/>
                <w:szCs w:val="24"/>
                <w:highlight w:val="none"/>
                <w:lang w:val="en-US" w:eastAsia="zh-CN" w:bidi="ar-SA"/>
              </w:rPr>
              <w:t>服务</w:t>
            </w:r>
            <w:r>
              <w:rPr>
                <w:rFonts w:hint="eastAsia" w:ascii="Times New Roman" w:hAnsi="Times New Roman" w:cs="Times New Roman" w:eastAsiaTheme="minorEastAsia"/>
                <w:kern w:val="2"/>
                <w:sz w:val="24"/>
                <w:szCs w:val="24"/>
                <w:highlight w:val="none"/>
                <w:lang w:val="en-US" w:eastAsia="zh-CN" w:bidi="ar-SA"/>
              </w:rPr>
              <w:t>商承担有城市交通拥堵治理类、治理效果评估类、交通规划类或年度咨询报告类项目业绩：</w:t>
            </w:r>
            <w:r>
              <w:rPr>
                <w:rFonts w:hint="default" w:ascii="Times New Roman" w:hAnsi="Times New Roman" w:cs="Times New Roman" w:eastAsiaTheme="minorEastAsia"/>
                <w:kern w:val="2"/>
                <w:sz w:val="24"/>
                <w:szCs w:val="24"/>
                <w:highlight w:val="none"/>
                <w:lang w:val="en-US" w:eastAsia="zh-CN" w:bidi="ar-SA"/>
              </w:rPr>
              <w:t>1</w:t>
            </w:r>
            <w:r>
              <w:rPr>
                <w:rFonts w:hint="eastAsia" w:ascii="Times New Roman" w:hAnsi="Times New Roman" w:cs="Times New Roman" w:eastAsiaTheme="minorEastAsia"/>
                <w:kern w:val="2"/>
                <w:sz w:val="24"/>
                <w:szCs w:val="24"/>
                <w:highlight w:val="none"/>
                <w:lang w:val="en-US" w:eastAsia="zh-CN" w:bidi="ar-SA"/>
              </w:rPr>
              <w:t>、编制过城市交通拥堵治理策略、片区交通拥堵综合治理方案、交通组织优化设计等直接相关的规划或研究类项目的，每个得2分，最高得8分。</w:t>
            </w:r>
            <w:r>
              <w:rPr>
                <w:rFonts w:hint="default" w:ascii="Times New Roman" w:hAnsi="Times New Roman" w:cs="Times New Roman" w:eastAsiaTheme="minorEastAsia"/>
                <w:kern w:val="2"/>
                <w:sz w:val="24"/>
                <w:szCs w:val="24"/>
                <w:highlight w:val="none"/>
                <w:lang w:val="en-US" w:eastAsia="zh-CN" w:bidi="ar-SA"/>
              </w:rPr>
              <w:t>2</w:t>
            </w:r>
            <w:r>
              <w:rPr>
                <w:rFonts w:hint="eastAsia" w:ascii="Times New Roman" w:hAnsi="Times New Roman" w:cs="Times New Roman" w:eastAsiaTheme="minorEastAsia"/>
                <w:kern w:val="2"/>
                <w:sz w:val="24"/>
                <w:szCs w:val="24"/>
                <w:highlight w:val="none"/>
                <w:lang w:val="en-US" w:eastAsia="zh-CN" w:bidi="ar-SA"/>
              </w:rPr>
              <w:t>、编制过城市交通拥堵治理效果评估、交通运行评价、交通整治后评估等报告类项目的，每个得2分，最高得6分。</w:t>
            </w:r>
            <w:r>
              <w:rPr>
                <w:rFonts w:hint="default" w:ascii="Times New Roman" w:hAnsi="Times New Roman" w:cs="Times New Roman" w:eastAsiaTheme="minorEastAsia"/>
                <w:kern w:val="2"/>
                <w:sz w:val="24"/>
                <w:szCs w:val="24"/>
                <w:highlight w:val="none"/>
                <w:lang w:val="en-US" w:eastAsia="zh-CN" w:bidi="ar-SA"/>
              </w:rPr>
              <w:t>3</w:t>
            </w:r>
            <w:r>
              <w:rPr>
                <w:rFonts w:hint="eastAsia" w:ascii="Times New Roman" w:hAnsi="Times New Roman" w:cs="Times New Roman" w:eastAsiaTheme="minorEastAsia"/>
                <w:kern w:val="2"/>
                <w:sz w:val="24"/>
                <w:szCs w:val="24"/>
                <w:highlight w:val="none"/>
                <w:lang w:val="en-US" w:eastAsia="zh-CN" w:bidi="ar-SA"/>
              </w:rPr>
              <w:t>、编制过市级或片区级</w:t>
            </w:r>
            <w:r>
              <w:rPr>
                <w:rFonts w:hint="eastAsia" w:cs="Times New Roman" w:eastAsiaTheme="minorEastAsia"/>
                <w:kern w:val="2"/>
                <w:sz w:val="24"/>
                <w:szCs w:val="24"/>
                <w:highlight w:val="none"/>
                <w:lang w:val="en-US" w:eastAsia="zh-CN" w:bidi="ar-SA"/>
              </w:rPr>
              <w:t>及以上</w:t>
            </w:r>
            <w:r>
              <w:rPr>
                <w:rFonts w:hint="eastAsia" w:ascii="Times New Roman" w:hAnsi="Times New Roman" w:cs="Times New Roman" w:eastAsiaTheme="minorEastAsia"/>
                <w:kern w:val="2"/>
                <w:sz w:val="24"/>
                <w:szCs w:val="24"/>
                <w:highlight w:val="none"/>
                <w:lang w:val="en-US" w:eastAsia="zh-CN" w:bidi="ar-SA"/>
              </w:rPr>
              <w:t>城市综合交通规划、交通专项规划（含交通拥堵治理相关内容）或重要通道、节点的交通详细设计项目的，每个得1分，最高得3分。</w:t>
            </w:r>
            <w:r>
              <w:rPr>
                <w:rFonts w:hint="default" w:ascii="Times New Roman" w:hAnsi="Times New Roman" w:cs="Times New Roman" w:eastAsiaTheme="minorEastAsia"/>
                <w:kern w:val="2"/>
                <w:sz w:val="24"/>
                <w:szCs w:val="24"/>
                <w:highlight w:val="none"/>
                <w:lang w:val="en-US" w:eastAsia="zh-CN" w:bidi="ar-SA"/>
              </w:rPr>
              <w:t>4</w:t>
            </w:r>
            <w:r>
              <w:rPr>
                <w:rFonts w:hint="eastAsia" w:ascii="Times New Roman" w:hAnsi="Times New Roman" w:cs="Times New Roman" w:eastAsiaTheme="minorEastAsia"/>
                <w:kern w:val="2"/>
                <w:sz w:val="24"/>
                <w:szCs w:val="24"/>
                <w:highlight w:val="none"/>
                <w:lang w:val="en-US" w:eastAsia="zh-CN" w:bidi="ar-SA"/>
              </w:rPr>
              <w:t>、编制过城市交通发展年度咨询、交通运行年报、交通拥堵指数分析报告等服务类项目的，每个得1分，最高得3分。</w:t>
            </w:r>
            <w:r>
              <w:rPr>
                <w:rFonts w:hint="default" w:ascii="Times New Roman" w:hAnsi="Times New Roman" w:cs="Times New Roman" w:eastAsiaTheme="minorEastAsia"/>
                <w:kern w:val="2"/>
                <w:sz w:val="24"/>
                <w:szCs w:val="24"/>
                <w:highlight w:val="none"/>
                <w:lang w:val="en-US" w:eastAsia="zh-CN" w:bidi="ar-SA"/>
              </w:rPr>
              <w:t>(</w:t>
            </w:r>
            <w:r>
              <w:rPr>
                <w:rFonts w:hint="eastAsia" w:ascii="Times New Roman" w:hAnsi="Times New Roman" w:cs="Times New Roman" w:eastAsiaTheme="minorEastAsia"/>
                <w:kern w:val="2"/>
                <w:sz w:val="24"/>
                <w:szCs w:val="24"/>
                <w:highlight w:val="none"/>
                <w:lang w:val="en-US" w:eastAsia="zh-CN" w:bidi="ar-SA"/>
              </w:rPr>
              <w:t>须提供合同复印件加盖公章，合同须为与采购单位直接签订，分包、转包等合同不予计分</w:t>
            </w:r>
            <w:r>
              <w:rPr>
                <w:rFonts w:hint="default" w:ascii="Times New Roman" w:hAnsi="Times New Roman" w:cs="Times New Roman" w:eastAsiaTheme="minorEastAsia"/>
                <w:kern w:val="2"/>
                <w:sz w:val="24"/>
                <w:szCs w:val="24"/>
                <w:highlight w:val="none"/>
                <w:lang w:val="en-US" w:eastAsia="zh-CN" w:bidi="ar-SA"/>
              </w:rPr>
              <w:t>,</w:t>
            </w:r>
            <w:r>
              <w:rPr>
                <w:rFonts w:hint="eastAsia" w:ascii="Times New Roman" w:hAnsi="Times New Roman" w:cs="Times New Roman" w:eastAsiaTheme="minorEastAsia"/>
                <w:kern w:val="2"/>
                <w:sz w:val="24"/>
                <w:szCs w:val="24"/>
                <w:highlight w:val="none"/>
                <w:lang w:val="en-US" w:eastAsia="zh-CN" w:bidi="ar-SA"/>
              </w:rPr>
              <w:t>计算时间以合同签订时间为准。</w:t>
            </w:r>
            <w:r>
              <w:rPr>
                <w:rFonts w:hint="default" w:ascii="Times New Roman" w:hAnsi="Times New Roman" w:cs="Times New Roman" w:eastAsiaTheme="minorEastAsia"/>
                <w:kern w:val="2"/>
                <w:sz w:val="24"/>
                <w:szCs w:val="24"/>
                <w:highlight w:val="none"/>
                <w:lang w:val="en-US" w:eastAsia="zh-CN" w:bidi="ar-SA"/>
              </w:rPr>
              <w:t>)</w:t>
            </w:r>
          </w:p>
        </w:tc>
        <w:tc>
          <w:tcPr>
            <w:tcW w:w="366" w:type="pct"/>
            <w:vAlign w:val="center"/>
          </w:tcPr>
          <w:p w14:paraId="25A78C9F">
            <w:pPr>
              <w:numPr>
                <w:ilvl w:val="255"/>
                <w:numId w:val="0"/>
              </w:numPr>
              <w:autoSpaceDE w:val="0"/>
              <w:autoSpaceDN w:val="0"/>
              <w:jc w:val="left"/>
              <w:rPr>
                <w:rFonts w:hint="default" w:ascii="Times New Roman" w:hAnsi="Times New Roman" w:eastAsia="宋体" w:cs="Times New Roman"/>
                <w:b/>
                <w:bCs/>
                <w:color w:val="FF0000"/>
                <w:sz w:val="24"/>
                <w:szCs w:val="24"/>
                <w:lang w:eastAsia="en-US"/>
              </w:rPr>
            </w:pPr>
          </w:p>
        </w:tc>
      </w:tr>
      <w:tr w14:paraId="5B53B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28" w:type="pct"/>
            <w:vMerge w:val="continue"/>
            <w:vAlign w:val="center"/>
          </w:tcPr>
          <w:p w14:paraId="34DD3FF9">
            <w:pPr>
              <w:autoSpaceDE w:val="0"/>
              <w:autoSpaceDN w:val="0"/>
              <w:jc w:val="center"/>
              <w:rPr>
                <w:rFonts w:hint="default" w:ascii="Times New Roman" w:hAnsi="Times New Roman" w:cs="Times New Roman" w:eastAsiaTheme="minorEastAsia"/>
                <w:kern w:val="2"/>
                <w:sz w:val="24"/>
                <w:szCs w:val="24"/>
                <w:highlight w:val="none"/>
                <w:lang w:val="en-US" w:eastAsia="en-US" w:bidi="ar-SA"/>
              </w:rPr>
            </w:pPr>
          </w:p>
        </w:tc>
        <w:tc>
          <w:tcPr>
            <w:tcW w:w="1185" w:type="pct"/>
            <w:vAlign w:val="center"/>
          </w:tcPr>
          <w:p w14:paraId="04E3B112">
            <w:pPr>
              <w:keepNext w:val="0"/>
              <w:keepLines w:val="0"/>
              <w:widowControl/>
              <w:suppressLineNumbers w:val="0"/>
              <w:autoSpaceDE w:val="0"/>
              <w:autoSpaceDN w:val="0"/>
              <w:jc w:val="both"/>
              <w:textAlignment w:val="center"/>
              <w:rPr>
                <w:rFonts w:hint="default" w:ascii="Times New Roman" w:hAnsi="Times New Roman" w:cs="Times New Roman" w:eastAsiaTheme="minorEastAsia"/>
                <w:kern w:val="2"/>
                <w:sz w:val="24"/>
                <w:szCs w:val="24"/>
                <w:highlight w:val="none"/>
                <w:lang w:val="en-US" w:eastAsia="en-US" w:bidi="ar-SA"/>
              </w:rPr>
            </w:pPr>
            <w:r>
              <w:rPr>
                <w:rFonts w:hint="eastAsia" w:ascii="Times New Roman" w:hAnsi="Times New Roman" w:cs="Times New Roman" w:eastAsiaTheme="minorEastAsia"/>
                <w:kern w:val="2"/>
                <w:sz w:val="24"/>
                <w:szCs w:val="24"/>
                <w:highlight w:val="none"/>
                <w:lang w:val="en-US" w:eastAsia="zh-CN" w:bidi="ar-SA"/>
              </w:rPr>
              <w:t>服务响应</w:t>
            </w:r>
            <w:r>
              <w:rPr>
                <w:rFonts w:hint="default" w:ascii="Times New Roman" w:hAnsi="Times New Roman" w:cs="Times New Roman" w:eastAsiaTheme="minorEastAsia"/>
                <w:kern w:val="2"/>
                <w:sz w:val="24"/>
                <w:szCs w:val="24"/>
                <w:highlight w:val="none"/>
                <w:lang w:val="en-US" w:eastAsia="zh-CN" w:bidi="ar-SA"/>
              </w:rPr>
              <w:t xml:space="preserve"> (5.0</w:t>
            </w:r>
            <w:r>
              <w:rPr>
                <w:rFonts w:hint="eastAsia" w:ascii="Times New Roman" w:hAnsi="Times New Roman" w:cs="Times New Roman" w:eastAsiaTheme="minorEastAsia"/>
                <w:kern w:val="2"/>
                <w:sz w:val="24"/>
                <w:szCs w:val="24"/>
                <w:highlight w:val="none"/>
                <w:lang w:val="en-US" w:eastAsia="zh-CN" w:bidi="ar-SA"/>
              </w:rPr>
              <w:t>分</w:t>
            </w:r>
            <w:r>
              <w:rPr>
                <w:rFonts w:hint="default" w:ascii="Times New Roman" w:hAnsi="Times New Roman" w:cs="Times New Roman" w:eastAsiaTheme="minorEastAsia"/>
                <w:kern w:val="2"/>
                <w:sz w:val="24"/>
                <w:szCs w:val="24"/>
                <w:highlight w:val="none"/>
                <w:lang w:val="en-US" w:eastAsia="zh-CN" w:bidi="ar-SA"/>
              </w:rPr>
              <w:t>)</w:t>
            </w:r>
            <w:r>
              <w:rPr>
                <w:rFonts w:hint="eastAsia" w:ascii="Times New Roman" w:hAnsi="Times New Roman" w:cs="Times New Roman" w:eastAsiaTheme="minorEastAsia"/>
                <w:kern w:val="2"/>
                <w:sz w:val="24"/>
                <w:szCs w:val="24"/>
                <w:highlight w:val="none"/>
                <w:lang w:val="en-US" w:eastAsia="zh-CN" w:bidi="ar-SA"/>
              </w:rPr>
              <w:t>，（等次分值选择：</w:t>
            </w:r>
            <w:r>
              <w:rPr>
                <w:rFonts w:hint="default" w:ascii="Times New Roman" w:hAnsi="Times New Roman" w:cs="Times New Roman" w:eastAsiaTheme="minorEastAsia"/>
                <w:kern w:val="2"/>
                <w:sz w:val="24"/>
                <w:szCs w:val="24"/>
                <w:highlight w:val="none"/>
                <w:lang w:val="en-US" w:eastAsia="zh-CN" w:bidi="ar-SA"/>
              </w:rPr>
              <w:t>0.0; 1.0; 3.0; 5.0</w:t>
            </w:r>
            <w:r>
              <w:rPr>
                <w:rFonts w:hint="eastAsia" w:ascii="Times New Roman" w:hAnsi="Times New Roman" w:cs="Times New Roman" w:eastAsiaTheme="minorEastAsia"/>
                <w:kern w:val="2"/>
                <w:sz w:val="24"/>
                <w:szCs w:val="24"/>
                <w:highlight w:val="none"/>
                <w:lang w:val="en-US" w:eastAsia="zh-CN" w:bidi="ar-SA"/>
              </w:rPr>
              <w:t>）</w:t>
            </w:r>
          </w:p>
        </w:tc>
        <w:tc>
          <w:tcPr>
            <w:tcW w:w="3120" w:type="pct"/>
            <w:vAlign w:val="center"/>
          </w:tcPr>
          <w:p w14:paraId="20FB892B">
            <w:pPr>
              <w:keepNext w:val="0"/>
              <w:keepLines w:val="0"/>
              <w:widowControl/>
              <w:suppressLineNumbers w:val="0"/>
              <w:autoSpaceDE w:val="0"/>
              <w:autoSpaceDN w:val="0"/>
              <w:jc w:val="both"/>
              <w:textAlignment w:val="center"/>
              <w:rPr>
                <w:rFonts w:hint="default" w:ascii="Times New Roman" w:hAnsi="Times New Roman" w:cs="Times New Roman" w:eastAsiaTheme="minorEastAsia"/>
                <w:kern w:val="2"/>
                <w:sz w:val="24"/>
                <w:szCs w:val="24"/>
                <w:highlight w:val="none"/>
                <w:lang w:val="en-US" w:eastAsia="en-US" w:bidi="ar-SA"/>
              </w:rPr>
            </w:pPr>
            <w:r>
              <w:rPr>
                <w:rFonts w:hint="default" w:ascii="Times New Roman" w:hAnsi="Times New Roman" w:cs="Times New Roman" w:eastAsiaTheme="minorEastAsia"/>
                <w:kern w:val="2"/>
                <w:sz w:val="24"/>
                <w:szCs w:val="24"/>
                <w:highlight w:val="none"/>
                <w:lang w:val="en-US" w:eastAsia="zh-CN" w:bidi="ar-SA"/>
              </w:rPr>
              <w:t>1</w:t>
            </w:r>
            <w:r>
              <w:rPr>
                <w:rFonts w:hint="eastAsia" w:ascii="Times New Roman" w:hAnsi="Times New Roman" w:cs="Times New Roman" w:eastAsiaTheme="minorEastAsia"/>
                <w:kern w:val="2"/>
                <w:sz w:val="24"/>
                <w:szCs w:val="24"/>
                <w:highlight w:val="none"/>
                <w:lang w:val="en-US" w:eastAsia="zh-CN" w:bidi="ar-SA"/>
              </w:rPr>
              <w:t>、</w:t>
            </w:r>
            <w:r>
              <w:rPr>
                <w:rFonts w:hint="eastAsia" w:cs="Times New Roman" w:eastAsiaTheme="minorEastAsia"/>
                <w:kern w:val="2"/>
                <w:sz w:val="24"/>
                <w:szCs w:val="24"/>
                <w:highlight w:val="none"/>
                <w:lang w:val="en-US" w:eastAsia="zh-CN" w:bidi="ar-SA"/>
              </w:rPr>
              <w:t>服务</w:t>
            </w:r>
            <w:r>
              <w:rPr>
                <w:rFonts w:hint="eastAsia" w:ascii="Times New Roman" w:hAnsi="Times New Roman" w:cs="Times New Roman" w:eastAsiaTheme="minorEastAsia"/>
                <w:kern w:val="2"/>
                <w:sz w:val="24"/>
                <w:szCs w:val="24"/>
                <w:highlight w:val="none"/>
                <w:lang w:val="en-US" w:eastAsia="zh-CN" w:bidi="ar-SA"/>
              </w:rPr>
              <w:t>商承诺在接到采购人通知后</w:t>
            </w:r>
            <w:r>
              <w:rPr>
                <w:rFonts w:hint="default" w:ascii="Times New Roman" w:hAnsi="Times New Roman" w:cs="Times New Roman" w:eastAsiaTheme="minorEastAsia"/>
                <w:kern w:val="2"/>
                <w:sz w:val="24"/>
                <w:szCs w:val="24"/>
                <w:highlight w:val="none"/>
                <w:lang w:val="en-US" w:eastAsia="zh-CN" w:bidi="ar-SA"/>
              </w:rPr>
              <w:t>1</w:t>
            </w:r>
            <w:r>
              <w:rPr>
                <w:rFonts w:hint="eastAsia" w:ascii="Times New Roman" w:hAnsi="Times New Roman" w:cs="Times New Roman" w:eastAsiaTheme="minorEastAsia"/>
                <w:kern w:val="2"/>
                <w:sz w:val="24"/>
                <w:szCs w:val="24"/>
                <w:highlight w:val="none"/>
                <w:lang w:val="en-US" w:eastAsia="zh-CN" w:bidi="ar-SA"/>
              </w:rPr>
              <w:t>小时（含）内到现场响应，得</w:t>
            </w:r>
            <w:r>
              <w:rPr>
                <w:rFonts w:hint="default" w:ascii="Times New Roman" w:hAnsi="Times New Roman" w:cs="Times New Roman" w:eastAsiaTheme="minorEastAsia"/>
                <w:kern w:val="2"/>
                <w:sz w:val="24"/>
                <w:szCs w:val="24"/>
                <w:highlight w:val="none"/>
                <w:lang w:val="en-US" w:eastAsia="zh-CN" w:bidi="ar-SA"/>
              </w:rPr>
              <w:t>5</w:t>
            </w:r>
            <w:r>
              <w:rPr>
                <w:rFonts w:hint="eastAsia" w:ascii="Times New Roman" w:hAnsi="Times New Roman" w:cs="Times New Roman" w:eastAsiaTheme="minorEastAsia"/>
                <w:kern w:val="2"/>
                <w:sz w:val="24"/>
                <w:szCs w:val="24"/>
                <w:highlight w:val="none"/>
                <w:lang w:val="en-US" w:eastAsia="zh-CN" w:bidi="ar-SA"/>
              </w:rPr>
              <w:t>分；</w:t>
            </w:r>
            <w:r>
              <w:rPr>
                <w:rFonts w:hint="default" w:ascii="Times New Roman" w:hAnsi="Times New Roman" w:cs="Times New Roman" w:eastAsiaTheme="minorEastAsia"/>
                <w:kern w:val="2"/>
                <w:sz w:val="24"/>
                <w:szCs w:val="24"/>
                <w:highlight w:val="none"/>
                <w:lang w:val="en-US" w:eastAsia="zh-CN" w:bidi="ar-SA"/>
              </w:rPr>
              <w:br w:type="textWrapping"/>
            </w:r>
            <w:r>
              <w:rPr>
                <w:rFonts w:hint="default" w:ascii="Times New Roman" w:hAnsi="Times New Roman" w:cs="Times New Roman" w:eastAsiaTheme="minorEastAsia"/>
                <w:kern w:val="2"/>
                <w:sz w:val="24"/>
                <w:szCs w:val="24"/>
                <w:highlight w:val="none"/>
                <w:lang w:val="en-US" w:eastAsia="zh-CN" w:bidi="ar-SA"/>
              </w:rPr>
              <w:t>2</w:t>
            </w:r>
            <w:r>
              <w:rPr>
                <w:rFonts w:hint="eastAsia" w:ascii="Times New Roman" w:hAnsi="Times New Roman" w:cs="Times New Roman" w:eastAsiaTheme="minorEastAsia"/>
                <w:kern w:val="2"/>
                <w:sz w:val="24"/>
                <w:szCs w:val="24"/>
                <w:highlight w:val="none"/>
                <w:lang w:val="en-US" w:eastAsia="zh-CN" w:bidi="ar-SA"/>
              </w:rPr>
              <w:t>、</w:t>
            </w:r>
            <w:r>
              <w:rPr>
                <w:rFonts w:hint="eastAsia" w:cs="Times New Roman" w:eastAsiaTheme="minorEastAsia"/>
                <w:kern w:val="2"/>
                <w:sz w:val="24"/>
                <w:szCs w:val="24"/>
                <w:highlight w:val="none"/>
                <w:lang w:val="en-US" w:eastAsia="zh-CN" w:bidi="ar-SA"/>
              </w:rPr>
              <w:t>服务</w:t>
            </w:r>
            <w:r>
              <w:rPr>
                <w:rFonts w:hint="eastAsia" w:ascii="Times New Roman" w:hAnsi="Times New Roman" w:cs="Times New Roman" w:eastAsiaTheme="minorEastAsia"/>
                <w:kern w:val="2"/>
                <w:sz w:val="24"/>
                <w:szCs w:val="24"/>
                <w:highlight w:val="none"/>
                <w:lang w:val="en-US" w:eastAsia="zh-CN" w:bidi="ar-SA"/>
              </w:rPr>
              <w:t>商承诺在接到采购人通知后</w:t>
            </w:r>
            <w:r>
              <w:rPr>
                <w:rFonts w:hint="default" w:ascii="Times New Roman" w:hAnsi="Times New Roman" w:cs="Times New Roman" w:eastAsiaTheme="minorEastAsia"/>
                <w:kern w:val="2"/>
                <w:sz w:val="24"/>
                <w:szCs w:val="24"/>
                <w:highlight w:val="none"/>
                <w:lang w:val="en-US" w:eastAsia="zh-CN" w:bidi="ar-SA"/>
              </w:rPr>
              <w:t>1—2</w:t>
            </w:r>
            <w:r>
              <w:rPr>
                <w:rFonts w:hint="eastAsia" w:ascii="Times New Roman" w:hAnsi="Times New Roman" w:cs="Times New Roman" w:eastAsiaTheme="minorEastAsia"/>
                <w:kern w:val="2"/>
                <w:sz w:val="24"/>
                <w:szCs w:val="24"/>
                <w:highlight w:val="none"/>
                <w:lang w:val="en-US" w:eastAsia="zh-CN" w:bidi="ar-SA"/>
              </w:rPr>
              <w:t>小时（含）到现场响应，得</w:t>
            </w:r>
            <w:r>
              <w:rPr>
                <w:rFonts w:hint="default" w:ascii="Times New Roman" w:hAnsi="Times New Roman" w:cs="Times New Roman" w:eastAsiaTheme="minorEastAsia"/>
                <w:kern w:val="2"/>
                <w:sz w:val="24"/>
                <w:szCs w:val="24"/>
                <w:highlight w:val="none"/>
                <w:lang w:val="en-US" w:eastAsia="zh-CN" w:bidi="ar-SA"/>
              </w:rPr>
              <w:t>3</w:t>
            </w:r>
            <w:r>
              <w:rPr>
                <w:rFonts w:hint="eastAsia" w:ascii="Times New Roman" w:hAnsi="Times New Roman" w:cs="Times New Roman" w:eastAsiaTheme="minorEastAsia"/>
                <w:kern w:val="2"/>
                <w:sz w:val="24"/>
                <w:szCs w:val="24"/>
                <w:highlight w:val="none"/>
                <w:lang w:val="en-US" w:eastAsia="zh-CN" w:bidi="ar-SA"/>
              </w:rPr>
              <w:t>分；</w:t>
            </w:r>
            <w:r>
              <w:rPr>
                <w:rFonts w:hint="default" w:ascii="Times New Roman" w:hAnsi="Times New Roman" w:cs="Times New Roman" w:eastAsiaTheme="minorEastAsia"/>
                <w:kern w:val="2"/>
                <w:sz w:val="24"/>
                <w:szCs w:val="24"/>
                <w:highlight w:val="none"/>
                <w:lang w:val="en-US" w:eastAsia="zh-CN" w:bidi="ar-SA"/>
              </w:rPr>
              <w:br w:type="textWrapping"/>
            </w:r>
            <w:r>
              <w:rPr>
                <w:rFonts w:hint="default" w:ascii="Times New Roman" w:hAnsi="Times New Roman" w:cs="Times New Roman" w:eastAsiaTheme="minorEastAsia"/>
                <w:kern w:val="2"/>
                <w:sz w:val="24"/>
                <w:szCs w:val="24"/>
                <w:highlight w:val="none"/>
                <w:lang w:val="en-US" w:eastAsia="zh-CN" w:bidi="ar-SA"/>
              </w:rPr>
              <w:t>3</w:t>
            </w:r>
            <w:r>
              <w:rPr>
                <w:rFonts w:hint="eastAsia" w:ascii="Times New Roman" w:hAnsi="Times New Roman" w:cs="Times New Roman" w:eastAsiaTheme="minorEastAsia"/>
                <w:kern w:val="2"/>
                <w:sz w:val="24"/>
                <w:szCs w:val="24"/>
                <w:highlight w:val="none"/>
                <w:lang w:val="en-US" w:eastAsia="zh-CN" w:bidi="ar-SA"/>
              </w:rPr>
              <w:t>、</w:t>
            </w:r>
            <w:r>
              <w:rPr>
                <w:rFonts w:hint="eastAsia" w:cs="Times New Roman" w:eastAsiaTheme="minorEastAsia"/>
                <w:kern w:val="2"/>
                <w:sz w:val="24"/>
                <w:szCs w:val="24"/>
                <w:highlight w:val="none"/>
                <w:lang w:val="en-US" w:eastAsia="zh-CN" w:bidi="ar-SA"/>
              </w:rPr>
              <w:t>服务</w:t>
            </w:r>
            <w:r>
              <w:rPr>
                <w:rFonts w:hint="eastAsia" w:ascii="Times New Roman" w:hAnsi="Times New Roman" w:cs="Times New Roman" w:eastAsiaTheme="minorEastAsia"/>
                <w:kern w:val="2"/>
                <w:sz w:val="24"/>
                <w:szCs w:val="24"/>
                <w:highlight w:val="none"/>
                <w:lang w:val="en-US" w:eastAsia="zh-CN" w:bidi="ar-SA"/>
              </w:rPr>
              <w:t>商承诺在接到采购人通知后</w:t>
            </w:r>
            <w:r>
              <w:rPr>
                <w:rFonts w:hint="default" w:ascii="Times New Roman" w:hAnsi="Times New Roman" w:cs="Times New Roman" w:eastAsiaTheme="minorEastAsia"/>
                <w:kern w:val="2"/>
                <w:sz w:val="24"/>
                <w:szCs w:val="24"/>
                <w:highlight w:val="none"/>
                <w:lang w:val="en-US" w:eastAsia="zh-CN" w:bidi="ar-SA"/>
              </w:rPr>
              <w:t>2—3</w:t>
            </w:r>
            <w:r>
              <w:rPr>
                <w:rFonts w:hint="eastAsia" w:ascii="Times New Roman" w:hAnsi="Times New Roman" w:cs="Times New Roman" w:eastAsiaTheme="minorEastAsia"/>
                <w:kern w:val="2"/>
                <w:sz w:val="24"/>
                <w:szCs w:val="24"/>
                <w:highlight w:val="none"/>
                <w:lang w:val="en-US" w:eastAsia="zh-CN" w:bidi="ar-SA"/>
              </w:rPr>
              <w:t>小时（含）到现场响应，得</w:t>
            </w:r>
            <w:r>
              <w:rPr>
                <w:rFonts w:hint="default" w:ascii="Times New Roman" w:hAnsi="Times New Roman" w:cs="Times New Roman" w:eastAsiaTheme="minorEastAsia"/>
                <w:kern w:val="2"/>
                <w:sz w:val="24"/>
                <w:szCs w:val="24"/>
                <w:highlight w:val="none"/>
                <w:lang w:val="en-US" w:eastAsia="zh-CN" w:bidi="ar-SA"/>
              </w:rPr>
              <w:t>1</w:t>
            </w:r>
            <w:r>
              <w:rPr>
                <w:rFonts w:hint="eastAsia" w:ascii="Times New Roman" w:hAnsi="Times New Roman" w:cs="Times New Roman" w:eastAsiaTheme="minorEastAsia"/>
                <w:kern w:val="2"/>
                <w:sz w:val="24"/>
                <w:szCs w:val="24"/>
                <w:highlight w:val="none"/>
                <w:lang w:val="en-US" w:eastAsia="zh-CN" w:bidi="ar-SA"/>
              </w:rPr>
              <w:t>分；</w:t>
            </w:r>
            <w:r>
              <w:rPr>
                <w:rFonts w:hint="default" w:ascii="Times New Roman" w:hAnsi="Times New Roman" w:cs="Times New Roman" w:eastAsiaTheme="minorEastAsia"/>
                <w:kern w:val="2"/>
                <w:sz w:val="24"/>
                <w:szCs w:val="24"/>
                <w:highlight w:val="none"/>
                <w:lang w:val="en-US" w:eastAsia="zh-CN" w:bidi="ar-SA"/>
              </w:rPr>
              <w:br w:type="textWrapping"/>
            </w:r>
            <w:r>
              <w:rPr>
                <w:rFonts w:hint="default" w:ascii="Times New Roman" w:hAnsi="Times New Roman" w:cs="Times New Roman" w:eastAsiaTheme="minorEastAsia"/>
                <w:kern w:val="2"/>
                <w:sz w:val="24"/>
                <w:szCs w:val="24"/>
                <w:highlight w:val="none"/>
                <w:lang w:val="en-US" w:eastAsia="zh-CN" w:bidi="ar-SA"/>
              </w:rPr>
              <w:t>4</w:t>
            </w:r>
            <w:r>
              <w:rPr>
                <w:rFonts w:hint="eastAsia" w:ascii="Times New Roman" w:hAnsi="Times New Roman" w:cs="Times New Roman" w:eastAsiaTheme="minorEastAsia"/>
                <w:kern w:val="2"/>
                <w:sz w:val="24"/>
                <w:szCs w:val="24"/>
                <w:highlight w:val="none"/>
                <w:lang w:val="en-US" w:eastAsia="zh-CN" w:bidi="ar-SA"/>
              </w:rPr>
              <w:t>、</w:t>
            </w:r>
            <w:r>
              <w:rPr>
                <w:rFonts w:hint="eastAsia" w:cs="Times New Roman" w:eastAsiaTheme="minorEastAsia"/>
                <w:kern w:val="2"/>
                <w:sz w:val="24"/>
                <w:szCs w:val="24"/>
                <w:highlight w:val="none"/>
                <w:lang w:val="en-US" w:eastAsia="zh-CN" w:bidi="ar-SA"/>
              </w:rPr>
              <w:t>服务</w:t>
            </w:r>
            <w:r>
              <w:rPr>
                <w:rFonts w:hint="eastAsia" w:ascii="Times New Roman" w:hAnsi="Times New Roman" w:cs="Times New Roman" w:eastAsiaTheme="minorEastAsia"/>
                <w:kern w:val="2"/>
                <w:sz w:val="24"/>
                <w:szCs w:val="24"/>
                <w:highlight w:val="none"/>
                <w:lang w:val="en-US" w:eastAsia="zh-CN" w:bidi="ar-SA"/>
              </w:rPr>
              <w:t>商承诺在接到采购人通知后</w:t>
            </w:r>
            <w:r>
              <w:rPr>
                <w:rFonts w:hint="default" w:ascii="Times New Roman" w:hAnsi="Times New Roman" w:cs="Times New Roman" w:eastAsiaTheme="minorEastAsia"/>
                <w:kern w:val="2"/>
                <w:sz w:val="24"/>
                <w:szCs w:val="24"/>
                <w:highlight w:val="none"/>
                <w:lang w:val="en-US" w:eastAsia="zh-CN" w:bidi="ar-SA"/>
              </w:rPr>
              <w:t>3</w:t>
            </w:r>
            <w:r>
              <w:rPr>
                <w:rFonts w:hint="eastAsia" w:ascii="Times New Roman" w:hAnsi="Times New Roman" w:cs="Times New Roman" w:eastAsiaTheme="minorEastAsia"/>
                <w:kern w:val="2"/>
                <w:sz w:val="24"/>
                <w:szCs w:val="24"/>
                <w:highlight w:val="none"/>
                <w:lang w:val="en-US" w:eastAsia="zh-CN" w:bidi="ar-SA"/>
              </w:rPr>
              <w:t>小时以上到现场响应，得</w:t>
            </w:r>
            <w:r>
              <w:rPr>
                <w:rFonts w:hint="default" w:ascii="Times New Roman" w:hAnsi="Times New Roman" w:cs="Times New Roman" w:eastAsiaTheme="minorEastAsia"/>
                <w:kern w:val="2"/>
                <w:sz w:val="24"/>
                <w:szCs w:val="24"/>
                <w:highlight w:val="none"/>
                <w:lang w:val="en-US" w:eastAsia="zh-CN" w:bidi="ar-SA"/>
              </w:rPr>
              <w:t>0</w:t>
            </w:r>
            <w:r>
              <w:rPr>
                <w:rFonts w:hint="eastAsia" w:ascii="Times New Roman" w:hAnsi="Times New Roman" w:cs="Times New Roman" w:eastAsiaTheme="minorEastAsia"/>
                <w:kern w:val="2"/>
                <w:sz w:val="24"/>
                <w:szCs w:val="24"/>
                <w:highlight w:val="none"/>
                <w:lang w:val="en-US" w:eastAsia="zh-CN" w:bidi="ar-SA"/>
              </w:rPr>
              <w:t>分。（须提供服务承诺书，并加盖</w:t>
            </w:r>
            <w:r>
              <w:rPr>
                <w:rFonts w:hint="eastAsia" w:cs="Times New Roman" w:eastAsiaTheme="minorEastAsia"/>
                <w:kern w:val="2"/>
                <w:sz w:val="24"/>
                <w:szCs w:val="24"/>
                <w:highlight w:val="none"/>
                <w:lang w:val="en-US" w:eastAsia="zh-CN" w:bidi="ar-SA"/>
              </w:rPr>
              <w:t>服务</w:t>
            </w:r>
            <w:r>
              <w:rPr>
                <w:rFonts w:hint="eastAsia" w:ascii="Times New Roman" w:hAnsi="Times New Roman" w:cs="Times New Roman" w:eastAsiaTheme="minorEastAsia"/>
                <w:kern w:val="2"/>
                <w:sz w:val="24"/>
                <w:szCs w:val="24"/>
                <w:highlight w:val="none"/>
                <w:lang w:val="en-US" w:eastAsia="zh-CN" w:bidi="ar-SA"/>
              </w:rPr>
              <w:t>商公章，未提供服务承诺书，本项不得分。）</w:t>
            </w:r>
          </w:p>
        </w:tc>
        <w:tc>
          <w:tcPr>
            <w:tcW w:w="366" w:type="pct"/>
            <w:vAlign w:val="center"/>
          </w:tcPr>
          <w:p w14:paraId="3611C174">
            <w:pPr>
              <w:autoSpaceDE w:val="0"/>
              <w:autoSpaceDN w:val="0"/>
              <w:jc w:val="left"/>
              <w:rPr>
                <w:rFonts w:hint="default" w:ascii="Times New Roman" w:hAnsi="Times New Roman" w:eastAsia="宋体" w:cs="Times New Roman"/>
                <w:b/>
                <w:bCs/>
                <w:color w:val="FF0000"/>
                <w:sz w:val="24"/>
                <w:szCs w:val="24"/>
                <w:lang w:eastAsia="en-US"/>
              </w:rPr>
            </w:pPr>
          </w:p>
        </w:tc>
      </w:tr>
      <w:tr w14:paraId="24B88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73" w:hRule="atLeast"/>
          <w:jc w:val="center"/>
        </w:trPr>
        <w:tc>
          <w:tcPr>
            <w:tcW w:w="328" w:type="pct"/>
            <w:vAlign w:val="center"/>
          </w:tcPr>
          <w:p w14:paraId="6B552349">
            <w:pPr>
              <w:keepNext w:val="0"/>
              <w:keepLines w:val="0"/>
              <w:widowControl/>
              <w:suppressLineNumbers w:val="0"/>
              <w:autoSpaceDE w:val="0"/>
              <w:autoSpaceDN w:val="0"/>
              <w:jc w:val="center"/>
              <w:textAlignment w:val="center"/>
              <w:rPr>
                <w:rFonts w:hint="default" w:ascii="Times New Roman" w:hAnsi="Times New Roman" w:cs="Times New Roman" w:eastAsiaTheme="minorEastAsia"/>
                <w:kern w:val="2"/>
                <w:sz w:val="24"/>
                <w:szCs w:val="24"/>
                <w:highlight w:val="none"/>
                <w:lang w:val="en-US" w:eastAsia="en-US" w:bidi="ar-SA"/>
              </w:rPr>
            </w:pPr>
            <w:r>
              <w:rPr>
                <w:rFonts w:hint="eastAsia" w:ascii="Times New Roman" w:hAnsi="Times New Roman" w:cs="Times New Roman" w:eastAsiaTheme="minorEastAsia"/>
                <w:kern w:val="2"/>
                <w:sz w:val="24"/>
                <w:szCs w:val="24"/>
                <w:highlight w:val="none"/>
                <w:lang w:val="en-US" w:eastAsia="zh-CN" w:bidi="ar-SA"/>
              </w:rPr>
              <w:t>投标报价</w:t>
            </w:r>
          </w:p>
        </w:tc>
        <w:tc>
          <w:tcPr>
            <w:tcW w:w="1185" w:type="pct"/>
            <w:vAlign w:val="center"/>
          </w:tcPr>
          <w:p w14:paraId="1862764C">
            <w:pPr>
              <w:keepNext w:val="0"/>
              <w:keepLines w:val="0"/>
              <w:widowControl/>
              <w:suppressLineNumbers w:val="0"/>
              <w:autoSpaceDE w:val="0"/>
              <w:autoSpaceDN w:val="0"/>
              <w:jc w:val="center"/>
              <w:textAlignment w:val="center"/>
              <w:rPr>
                <w:rFonts w:hint="default" w:ascii="Times New Roman" w:hAnsi="Times New Roman" w:cs="Times New Roman" w:eastAsiaTheme="minorEastAsia"/>
                <w:kern w:val="2"/>
                <w:sz w:val="24"/>
                <w:szCs w:val="24"/>
                <w:highlight w:val="none"/>
                <w:lang w:val="en-US" w:eastAsia="en-US" w:bidi="ar-SA"/>
              </w:rPr>
            </w:pPr>
            <w:r>
              <w:rPr>
                <w:rFonts w:hint="eastAsia" w:ascii="Times New Roman" w:hAnsi="Times New Roman" w:cs="Times New Roman" w:eastAsiaTheme="minorEastAsia"/>
                <w:kern w:val="2"/>
                <w:sz w:val="24"/>
                <w:szCs w:val="24"/>
                <w:highlight w:val="none"/>
                <w:lang w:val="en-US" w:eastAsia="zh-CN" w:bidi="ar-SA"/>
              </w:rPr>
              <w:t>投标报价得分</w:t>
            </w:r>
            <w:r>
              <w:rPr>
                <w:rFonts w:hint="default" w:ascii="Times New Roman" w:hAnsi="Times New Roman" w:cs="Times New Roman" w:eastAsiaTheme="minorEastAsia"/>
                <w:kern w:val="2"/>
                <w:sz w:val="24"/>
                <w:szCs w:val="24"/>
                <w:highlight w:val="none"/>
                <w:lang w:val="en-US" w:eastAsia="zh-CN" w:bidi="ar-SA"/>
              </w:rPr>
              <w:t xml:space="preserve"> (20.0</w:t>
            </w:r>
            <w:r>
              <w:rPr>
                <w:rFonts w:hint="eastAsia" w:ascii="Times New Roman" w:hAnsi="Times New Roman" w:cs="Times New Roman" w:eastAsiaTheme="minorEastAsia"/>
                <w:kern w:val="2"/>
                <w:sz w:val="24"/>
                <w:szCs w:val="24"/>
                <w:highlight w:val="none"/>
                <w:lang w:val="en-US" w:eastAsia="zh-CN" w:bidi="ar-SA"/>
              </w:rPr>
              <w:t>分）</w:t>
            </w:r>
          </w:p>
        </w:tc>
        <w:tc>
          <w:tcPr>
            <w:tcW w:w="3120" w:type="pct"/>
            <w:vAlign w:val="center"/>
          </w:tcPr>
          <w:p w14:paraId="4A029BB4">
            <w:pPr>
              <w:keepNext w:val="0"/>
              <w:keepLines w:val="0"/>
              <w:widowControl/>
              <w:suppressLineNumbers w:val="0"/>
              <w:autoSpaceDE w:val="0"/>
              <w:autoSpaceDN w:val="0"/>
              <w:jc w:val="both"/>
              <w:textAlignment w:val="center"/>
              <w:rPr>
                <w:rFonts w:hint="default" w:ascii="Times New Roman" w:hAnsi="Times New Roman" w:cs="Times New Roman" w:eastAsiaTheme="minorEastAsia"/>
                <w:kern w:val="2"/>
                <w:sz w:val="24"/>
                <w:szCs w:val="24"/>
                <w:highlight w:val="none"/>
                <w:lang w:val="en-US" w:eastAsia="en-US" w:bidi="ar-SA"/>
              </w:rPr>
            </w:pPr>
            <w:r>
              <w:rPr>
                <w:rFonts w:hint="eastAsia" w:ascii="Times New Roman" w:hAnsi="Times New Roman" w:cs="Times New Roman" w:eastAsiaTheme="minorEastAsia"/>
                <w:kern w:val="2"/>
                <w:sz w:val="24"/>
                <w:szCs w:val="24"/>
                <w:highlight w:val="none"/>
                <w:lang w:val="en-US" w:eastAsia="zh-CN" w:bidi="ar-SA"/>
              </w:rPr>
              <w:t>投标报价得分</w:t>
            </w:r>
            <w:r>
              <w:rPr>
                <w:rFonts w:hint="eastAsia" w:cs="Times New Roman" w:eastAsiaTheme="minorEastAsia"/>
                <w:kern w:val="2"/>
                <w:sz w:val="24"/>
                <w:szCs w:val="24"/>
                <w:highlight w:val="none"/>
                <w:lang w:val="en-US" w:eastAsia="zh-CN" w:bidi="ar-SA"/>
              </w:rPr>
              <w:t>=</w:t>
            </w:r>
            <w:r>
              <w:rPr>
                <w:rFonts w:hint="eastAsia" w:ascii="Times New Roman" w:hAnsi="Times New Roman" w:cs="Times New Roman" w:eastAsiaTheme="minorEastAsia"/>
                <w:kern w:val="2"/>
                <w:sz w:val="24"/>
                <w:szCs w:val="24"/>
                <w:highlight w:val="none"/>
                <w:lang w:val="en-US" w:eastAsia="zh-CN" w:bidi="ar-SA"/>
              </w:rPr>
              <w:t>（评标基准价</w:t>
            </w:r>
            <w:r>
              <w:rPr>
                <w:rFonts w:hint="default" w:ascii="Times New Roman" w:hAnsi="Times New Roman" w:cs="Times New Roman" w:eastAsiaTheme="minorEastAsia"/>
                <w:kern w:val="2"/>
                <w:sz w:val="24"/>
                <w:szCs w:val="24"/>
                <w:highlight w:val="none"/>
                <w:lang w:val="en-US" w:eastAsia="zh-CN" w:bidi="ar-SA"/>
              </w:rPr>
              <w:t>/</w:t>
            </w:r>
            <w:r>
              <w:rPr>
                <w:rFonts w:hint="eastAsia" w:ascii="Times New Roman" w:hAnsi="Times New Roman" w:cs="Times New Roman" w:eastAsiaTheme="minorEastAsia"/>
                <w:kern w:val="2"/>
                <w:sz w:val="24"/>
                <w:szCs w:val="24"/>
                <w:highlight w:val="none"/>
                <w:lang w:val="en-US" w:eastAsia="zh-CN" w:bidi="ar-SA"/>
              </w:rPr>
              <w:t>投标报价）</w:t>
            </w:r>
            <w:r>
              <w:rPr>
                <w:rFonts w:hint="default" w:ascii="Times New Roman" w:hAnsi="Times New Roman" w:cs="Times New Roman" w:eastAsiaTheme="minorEastAsia"/>
                <w:kern w:val="2"/>
                <w:sz w:val="24"/>
                <w:szCs w:val="24"/>
                <w:highlight w:val="none"/>
                <w:lang w:val="en-US" w:eastAsia="zh-CN" w:bidi="ar-SA"/>
              </w:rPr>
              <w:t>×</w:t>
            </w:r>
            <w:r>
              <w:rPr>
                <w:rFonts w:hint="eastAsia" w:ascii="Times New Roman" w:hAnsi="Times New Roman" w:cs="Times New Roman" w:eastAsiaTheme="minorEastAsia"/>
                <w:kern w:val="2"/>
                <w:sz w:val="24"/>
                <w:szCs w:val="24"/>
                <w:highlight w:val="none"/>
                <w:lang w:val="en-US" w:eastAsia="zh-CN" w:bidi="ar-SA"/>
              </w:rPr>
              <w:t>价格分值【注：满足招标文件要求且投标价格最低的投标报价为评标基准价。】最低报价不是中标的唯一依据。因落实政府采购政策进行价格调整的，以调整后的价格计算评标基准价和投标报价。</w:t>
            </w:r>
          </w:p>
        </w:tc>
        <w:tc>
          <w:tcPr>
            <w:tcW w:w="366" w:type="pct"/>
            <w:vAlign w:val="center"/>
          </w:tcPr>
          <w:p w14:paraId="6D50D21C">
            <w:pPr>
              <w:autoSpaceDE w:val="0"/>
              <w:autoSpaceDN w:val="0"/>
              <w:jc w:val="left"/>
              <w:rPr>
                <w:rFonts w:hint="default" w:ascii="Times New Roman" w:hAnsi="Times New Roman" w:eastAsia="宋体" w:cs="Times New Roman"/>
                <w:b/>
                <w:bCs/>
                <w:color w:val="FF0000"/>
                <w:sz w:val="24"/>
                <w:szCs w:val="24"/>
                <w:lang w:eastAsia="en-US"/>
              </w:rPr>
            </w:pPr>
          </w:p>
        </w:tc>
      </w:tr>
    </w:tbl>
    <w:p w14:paraId="20A99F08">
      <w:pPr>
        <w:ind w:firstLine="640" w:firstLineChars="200"/>
        <w:rPr>
          <w:rFonts w:hint="default" w:ascii="Times New Roman" w:hAnsi="Times New Roman" w:cs="Times New Roman"/>
        </w:rPr>
      </w:pPr>
      <w:r>
        <w:rPr>
          <w:rFonts w:hint="default" w:ascii="Times New Roman" w:hAnsi="Times New Roman" w:cs="Times New Roman"/>
        </w:rPr>
        <w:t>评</w:t>
      </w:r>
      <w:r>
        <w:rPr>
          <w:rFonts w:hint="default" w:ascii="Times New Roman" w:hAnsi="Times New Roman" w:cs="Times New Roman"/>
          <w:lang w:eastAsia="zh-CN"/>
        </w:rPr>
        <w:t>审</w:t>
      </w:r>
      <w:r>
        <w:rPr>
          <w:rFonts w:hint="default" w:ascii="Times New Roman" w:hAnsi="Times New Roman" w:cs="Times New Roman"/>
        </w:rPr>
        <w:t>总得分（100分）=技术部分（</w:t>
      </w:r>
      <w:r>
        <w:rPr>
          <w:rFonts w:hint="eastAsia" w:cs="Times New Roman"/>
          <w:lang w:val="en-US" w:eastAsia="zh-CN"/>
        </w:rPr>
        <w:t>42</w:t>
      </w:r>
      <w:r>
        <w:rPr>
          <w:rFonts w:hint="default" w:ascii="Times New Roman" w:hAnsi="Times New Roman" w:cs="Times New Roman"/>
        </w:rPr>
        <w:t>分）+商务部分（3</w:t>
      </w:r>
      <w:r>
        <w:rPr>
          <w:rFonts w:hint="eastAsia" w:cs="Times New Roman"/>
          <w:lang w:val="en-US" w:eastAsia="zh-CN"/>
        </w:rPr>
        <w:t>8</w:t>
      </w:r>
      <w:r>
        <w:rPr>
          <w:rFonts w:hint="default" w:ascii="Times New Roman" w:hAnsi="Times New Roman" w:cs="Times New Roman"/>
        </w:rPr>
        <w:t>分）+报价部分（</w:t>
      </w:r>
      <w:r>
        <w:rPr>
          <w:rFonts w:hint="eastAsia" w:cs="Times New Roman"/>
          <w:lang w:val="en-US" w:eastAsia="zh-CN"/>
        </w:rPr>
        <w:t>2</w:t>
      </w:r>
      <w:r>
        <w:rPr>
          <w:rFonts w:hint="default" w:ascii="Times New Roman" w:hAnsi="Times New Roman" w:cs="Times New Roman"/>
        </w:rPr>
        <w:t>0分）。</w:t>
      </w:r>
    </w:p>
    <w:p w14:paraId="6013DB72">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br w:type="page"/>
      </w:r>
    </w:p>
    <w:p w14:paraId="1932734A">
      <w:pPr>
        <w:spacing w:line="360" w:lineRule="auto"/>
        <w:rPr>
          <w:rFonts w:hint="default" w:ascii="Times New Roman" w:hAnsi="Times New Roman" w:eastAsia="方正小标宋简体" w:cs="Times New Roman"/>
          <w:bCs/>
          <w:color w:val="000000"/>
          <w:sz w:val="44"/>
          <w:szCs w:val="44"/>
          <w:lang w:val="zh-CN"/>
        </w:rPr>
      </w:pPr>
      <w:r>
        <w:rPr>
          <w:rFonts w:hint="default" w:ascii="Times New Roman" w:hAnsi="Times New Roman" w:cs="Times New Roman"/>
          <w:color w:val="000000"/>
          <w:sz w:val="28"/>
          <w:szCs w:val="28"/>
        </w:rPr>
        <w:t>附件1</w:t>
      </w:r>
    </w:p>
    <w:p w14:paraId="77D40078">
      <w:pPr>
        <w:spacing w:line="360" w:lineRule="auto"/>
        <w:jc w:val="center"/>
        <w:rPr>
          <w:rFonts w:hint="default" w:ascii="Times New Roman" w:hAnsi="Times New Roman" w:eastAsia="方正小标宋简体" w:cs="Times New Roman"/>
          <w:bCs/>
          <w:color w:val="000000"/>
          <w:sz w:val="44"/>
          <w:szCs w:val="44"/>
          <w:lang w:val="zh-CN"/>
        </w:rPr>
      </w:pPr>
      <w:r>
        <w:rPr>
          <w:rFonts w:hint="default" w:ascii="Times New Roman" w:hAnsi="Times New Roman" w:eastAsia="方正小标宋简体" w:cs="Times New Roman"/>
          <w:bCs/>
          <w:color w:val="000000"/>
          <w:sz w:val="44"/>
          <w:szCs w:val="44"/>
          <w:lang w:val="zh-CN"/>
        </w:rPr>
        <w:t>报价表</w:t>
      </w:r>
    </w:p>
    <w:p w14:paraId="481118A2">
      <w:pPr>
        <w:keepNext/>
        <w:spacing w:line="360" w:lineRule="auto"/>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 </w:t>
      </w:r>
    </w:p>
    <w:tbl>
      <w:tblPr>
        <w:tblStyle w:val="12"/>
        <w:tblW w:w="9272" w:type="dxa"/>
        <w:tblInd w:w="128" w:type="dxa"/>
        <w:tblLayout w:type="fixed"/>
        <w:tblCellMar>
          <w:top w:w="0" w:type="dxa"/>
          <w:left w:w="108" w:type="dxa"/>
          <w:bottom w:w="0" w:type="dxa"/>
          <w:right w:w="108" w:type="dxa"/>
        </w:tblCellMar>
      </w:tblPr>
      <w:tblGrid>
        <w:gridCol w:w="1681"/>
        <w:gridCol w:w="7591"/>
      </w:tblGrid>
      <w:tr w14:paraId="27EA3819">
        <w:tblPrEx>
          <w:tblCellMar>
            <w:top w:w="0" w:type="dxa"/>
            <w:left w:w="108" w:type="dxa"/>
            <w:bottom w:w="0" w:type="dxa"/>
            <w:right w:w="108" w:type="dxa"/>
          </w:tblCellMar>
        </w:tblPrEx>
        <w:trPr>
          <w:trHeight w:val="1304" w:hRule="atLeast"/>
        </w:trPr>
        <w:tc>
          <w:tcPr>
            <w:tcW w:w="1681" w:type="dxa"/>
            <w:tcBorders>
              <w:top w:val="single" w:color="auto" w:sz="4" w:space="0"/>
              <w:left w:val="single" w:color="auto" w:sz="4" w:space="0"/>
              <w:bottom w:val="single" w:color="auto" w:sz="4" w:space="0"/>
              <w:right w:val="single" w:color="auto" w:sz="4" w:space="0"/>
            </w:tcBorders>
            <w:vAlign w:val="center"/>
          </w:tcPr>
          <w:p w14:paraId="12C81382">
            <w:pPr>
              <w:spacing w:line="440" w:lineRule="exact"/>
              <w:jc w:val="center"/>
              <w:rPr>
                <w:rFonts w:hint="default" w:ascii="Times New Roman" w:hAnsi="Times New Roman" w:cs="Times New Roman"/>
                <w:sz w:val="22"/>
                <w:szCs w:val="22"/>
              </w:rPr>
            </w:pPr>
            <w:r>
              <w:rPr>
                <w:rFonts w:hint="default" w:ascii="Times New Roman" w:hAnsi="Times New Roman" w:cs="Times New Roman"/>
                <w:sz w:val="22"/>
                <w:szCs w:val="22"/>
              </w:rPr>
              <w:t>项目名称</w:t>
            </w:r>
          </w:p>
        </w:tc>
        <w:tc>
          <w:tcPr>
            <w:tcW w:w="7591" w:type="dxa"/>
            <w:tcBorders>
              <w:top w:val="single" w:color="auto" w:sz="4" w:space="0"/>
              <w:left w:val="single" w:color="auto" w:sz="4" w:space="0"/>
              <w:bottom w:val="single" w:color="auto" w:sz="4" w:space="0"/>
              <w:right w:val="single" w:color="auto" w:sz="4" w:space="0"/>
            </w:tcBorders>
            <w:vAlign w:val="center"/>
          </w:tcPr>
          <w:p w14:paraId="555FBFBF">
            <w:pPr>
              <w:spacing w:line="360" w:lineRule="auto"/>
              <w:jc w:val="center"/>
              <w:rPr>
                <w:rFonts w:hint="eastAsia" w:ascii="Times New Roman" w:hAnsi="Times New Roman" w:eastAsia="仿宋_GB2312" w:cs="Times New Roman"/>
                <w:szCs w:val="21"/>
                <w:lang w:eastAsia="zh-CN"/>
              </w:rPr>
            </w:pPr>
            <w:r>
              <w:rPr>
                <w:rFonts w:hint="eastAsia" w:ascii="Times New Roman" w:hAnsi="Times New Roman" w:cs="Times New Roman"/>
                <w:color w:val="000000"/>
                <w:sz w:val="28"/>
                <w:szCs w:val="28"/>
              </w:rPr>
              <w:t>2026年东莞市交通拥堵治理及治理效果评估</w:t>
            </w:r>
          </w:p>
        </w:tc>
      </w:tr>
      <w:tr w14:paraId="5A39F484">
        <w:tblPrEx>
          <w:tblCellMar>
            <w:top w:w="0" w:type="dxa"/>
            <w:left w:w="108" w:type="dxa"/>
            <w:bottom w:w="0" w:type="dxa"/>
            <w:right w:w="108" w:type="dxa"/>
          </w:tblCellMar>
        </w:tblPrEx>
        <w:trPr>
          <w:trHeight w:val="1304" w:hRule="atLeast"/>
        </w:trPr>
        <w:tc>
          <w:tcPr>
            <w:tcW w:w="1681" w:type="dxa"/>
            <w:tcBorders>
              <w:top w:val="single" w:color="auto" w:sz="4" w:space="0"/>
              <w:left w:val="single" w:color="auto" w:sz="4" w:space="0"/>
              <w:bottom w:val="single" w:color="auto" w:sz="4" w:space="0"/>
              <w:right w:val="single" w:color="auto" w:sz="4" w:space="0"/>
            </w:tcBorders>
            <w:vAlign w:val="center"/>
          </w:tcPr>
          <w:p w14:paraId="7A21236F">
            <w:pPr>
              <w:spacing w:line="440" w:lineRule="exact"/>
              <w:jc w:val="center"/>
              <w:rPr>
                <w:rFonts w:hint="default" w:ascii="Times New Roman" w:hAnsi="Times New Roman" w:cs="Times New Roman"/>
                <w:sz w:val="22"/>
                <w:szCs w:val="22"/>
              </w:rPr>
            </w:pPr>
            <w:r>
              <w:rPr>
                <w:rFonts w:hint="default" w:ascii="Times New Roman" w:hAnsi="Times New Roman" w:cs="Times New Roman"/>
                <w:sz w:val="22"/>
                <w:szCs w:val="22"/>
              </w:rPr>
              <w:t>服务商名称</w:t>
            </w:r>
          </w:p>
        </w:tc>
        <w:tc>
          <w:tcPr>
            <w:tcW w:w="7591" w:type="dxa"/>
            <w:tcBorders>
              <w:top w:val="single" w:color="auto" w:sz="4" w:space="0"/>
              <w:left w:val="single" w:color="auto" w:sz="4" w:space="0"/>
              <w:bottom w:val="single" w:color="auto" w:sz="4" w:space="0"/>
              <w:right w:val="single" w:color="auto" w:sz="4" w:space="0"/>
            </w:tcBorders>
            <w:vAlign w:val="center"/>
          </w:tcPr>
          <w:p w14:paraId="1CC692C6">
            <w:pPr>
              <w:spacing w:line="440" w:lineRule="exact"/>
              <w:jc w:val="center"/>
              <w:rPr>
                <w:rFonts w:hint="default" w:ascii="Times New Roman" w:hAnsi="Times New Roman" w:cs="Times New Roman"/>
                <w:sz w:val="22"/>
                <w:szCs w:val="22"/>
              </w:rPr>
            </w:pPr>
          </w:p>
        </w:tc>
      </w:tr>
      <w:tr w14:paraId="4BBC7038">
        <w:tblPrEx>
          <w:tblCellMar>
            <w:top w:w="0" w:type="dxa"/>
            <w:left w:w="108" w:type="dxa"/>
            <w:bottom w:w="0" w:type="dxa"/>
            <w:right w:w="108" w:type="dxa"/>
          </w:tblCellMar>
        </w:tblPrEx>
        <w:trPr>
          <w:trHeight w:val="1701" w:hRule="atLeast"/>
        </w:trPr>
        <w:tc>
          <w:tcPr>
            <w:tcW w:w="1681" w:type="dxa"/>
            <w:tcBorders>
              <w:top w:val="single" w:color="auto" w:sz="4" w:space="0"/>
              <w:left w:val="single" w:color="auto" w:sz="4" w:space="0"/>
              <w:bottom w:val="single" w:color="auto" w:sz="4" w:space="0"/>
              <w:right w:val="single" w:color="auto" w:sz="4" w:space="0"/>
            </w:tcBorders>
            <w:vAlign w:val="center"/>
          </w:tcPr>
          <w:p w14:paraId="783D11BD">
            <w:pPr>
              <w:pStyle w:val="3"/>
              <w:jc w:val="center"/>
              <w:rPr>
                <w:rFonts w:hint="default" w:ascii="Times New Roman" w:hAnsi="Times New Roman" w:cs="Times New Roman"/>
                <w:sz w:val="22"/>
                <w:szCs w:val="22"/>
              </w:rPr>
            </w:pPr>
            <w:r>
              <w:rPr>
                <w:rFonts w:hint="default" w:ascii="Times New Roman" w:hAnsi="Times New Roman" w:cs="Times New Roman"/>
                <w:sz w:val="22"/>
                <w:szCs w:val="22"/>
              </w:rPr>
              <w:t>服务报价</w:t>
            </w:r>
          </w:p>
          <w:p w14:paraId="2555BFF7">
            <w:pPr>
              <w:pStyle w:val="3"/>
              <w:jc w:val="center"/>
              <w:rPr>
                <w:rFonts w:hint="default" w:ascii="Times New Roman" w:hAnsi="Times New Roman" w:eastAsia="宋体" w:cs="Times New Roman"/>
              </w:rPr>
            </w:pPr>
            <w:r>
              <w:rPr>
                <w:rFonts w:hint="default" w:ascii="Times New Roman" w:hAnsi="Times New Roman" w:cs="Times New Roman"/>
                <w:sz w:val="22"/>
                <w:szCs w:val="22"/>
              </w:rPr>
              <w:t>（元）</w:t>
            </w:r>
          </w:p>
        </w:tc>
        <w:tc>
          <w:tcPr>
            <w:tcW w:w="7591" w:type="dxa"/>
            <w:tcBorders>
              <w:top w:val="single" w:color="auto" w:sz="4" w:space="0"/>
              <w:left w:val="single" w:color="auto" w:sz="4" w:space="0"/>
              <w:bottom w:val="single" w:color="auto" w:sz="4" w:space="0"/>
              <w:right w:val="single" w:color="auto" w:sz="4" w:space="0"/>
            </w:tcBorders>
            <w:vAlign w:val="center"/>
          </w:tcPr>
          <w:p w14:paraId="0143DBBC">
            <w:pPr>
              <w:spacing w:line="360" w:lineRule="auto"/>
              <w:jc w:val="left"/>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大写：           </w:t>
            </w:r>
          </w:p>
          <w:p w14:paraId="63148A56">
            <w:pPr>
              <w:rPr>
                <w:rFonts w:hint="default" w:ascii="Times New Roman" w:hAnsi="Times New Roman" w:cs="Times New Roman"/>
              </w:rPr>
            </w:pPr>
            <w:r>
              <w:rPr>
                <w:rFonts w:hint="default" w:ascii="Times New Roman" w:hAnsi="Times New Roman" w:cs="Times New Roman"/>
                <w:color w:val="000000"/>
                <w:sz w:val="28"/>
                <w:szCs w:val="28"/>
              </w:rPr>
              <w:t xml:space="preserve">小写：           </w:t>
            </w:r>
          </w:p>
          <w:p w14:paraId="5EC449C1">
            <w:pPr>
              <w:spacing w:line="360" w:lineRule="auto"/>
              <w:ind w:firstLine="660" w:firstLineChars="300"/>
              <w:jc w:val="left"/>
              <w:rPr>
                <w:rFonts w:hint="default" w:ascii="Times New Roman" w:hAnsi="Times New Roman" w:cs="Times New Roman"/>
                <w:sz w:val="22"/>
                <w:szCs w:val="28"/>
              </w:rPr>
            </w:pPr>
          </w:p>
        </w:tc>
      </w:tr>
      <w:tr w14:paraId="2E852858">
        <w:tblPrEx>
          <w:tblCellMar>
            <w:top w:w="0" w:type="dxa"/>
            <w:left w:w="108" w:type="dxa"/>
            <w:bottom w:w="0" w:type="dxa"/>
            <w:right w:w="108" w:type="dxa"/>
          </w:tblCellMar>
        </w:tblPrEx>
        <w:trPr>
          <w:trHeight w:val="1304" w:hRule="atLeast"/>
        </w:trPr>
        <w:tc>
          <w:tcPr>
            <w:tcW w:w="1681" w:type="dxa"/>
            <w:tcBorders>
              <w:top w:val="single" w:color="auto" w:sz="4" w:space="0"/>
              <w:left w:val="single" w:color="auto" w:sz="4" w:space="0"/>
              <w:bottom w:val="single" w:color="auto" w:sz="4" w:space="0"/>
              <w:right w:val="single" w:color="auto" w:sz="4" w:space="0"/>
            </w:tcBorders>
            <w:vAlign w:val="center"/>
          </w:tcPr>
          <w:p w14:paraId="0314B224">
            <w:pPr>
              <w:spacing w:line="440" w:lineRule="exact"/>
              <w:jc w:val="center"/>
              <w:rPr>
                <w:rFonts w:hint="default" w:ascii="Times New Roman" w:hAnsi="Times New Roman" w:cs="Times New Roman"/>
                <w:sz w:val="22"/>
                <w:szCs w:val="22"/>
              </w:rPr>
            </w:pPr>
            <w:r>
              <w:rPr>
                <w:rFonts w:hint="default" w:ascii="Times New Roman" w:hAnsi="Times New Roman" w:cs="Times New Roman"/>
                <w:sz w:val="22"/>
                <w:szCs w:val="22"/>
              </w:rPr>
              <w:t>服务期</w:t>
            </w:r>
          </w:p>
        </w:tc>
        <w:tc>
          <w:tcPr>
            <w:tcW w:w="7591" w:type="dxa"/>
            <w:tcBorders>
              <w:top w:val="single" w:color="auto" w:sz="4" w:space="0"/>
              <w:left w:val="single" w:color="auto" w:sz="4" w:space="0"/>
              <w:bottom w:val="single" w:color="auto" w:sz="4" w:space="0"/>
              <w:right w:val="single" w:color="auto" w:sz="4" w:space="0"/>
            </w:tcBorders>
            <w:vAlign w:val="center"/>
          </w:tcPr>
          <w:p w14:paraId="7B8DF3DB">
            <w:pPr>
              <w:spacing w:line="440" w:lineRule="exact"/>
              <w:jc w:val="center"/>
              <w:rPr>
                <w:rFonts w:hint="default" w:ascii="Times New Roman" w:hAnsi="Times New Roman" w:cs="Times New Roman"/>
                <w:szCs w:val="21"/>
              </w:rPr>
            </w:pPr>
            <w:r>
              <w:rPr>
                <w:rFonts w:hint="default" w:ascii="Times New Roman" w:hAnsi="Times New Roman" w:cs="Times New Roman"/>
                <w:color w:val="000000"/>
                <w:sz w:val="28"/>
                <w:szCs w:val="28"/>
                <w:highlight w:val="none"/>
              </w:rPr>
              <w:t>自合同签订之日起</w:t>
            </w:r>
            <w:r>
              <w:rPr>
                <w:rFonts w:hint="eastAsia" w:cs="Times New Roman"/>
                <w:color w:val="000000"/>
                <w:sz w:val="28"/>
                <w:szCs w:val="28"/>
                <w:highlight w:val="none"/>
                <w:lang w:eastAsia="zh-CN"/>
              </w:rPr>
              <w:t>至</w:t>
            </w:r>
            <w:r>
              <w:rPr>
                <w:rFonts w:hint="eastAsia" w:cs="Times New Roman"/>
                <w:color w:val="000000"/>
                <w:sz w:val="28"/>
                <w:szCs w:val="28"/>
                <w:highlight w:val="none"/>
                <w:lang w:val="en-US" w:eastAsia="zh-CN"/>
              </w:rPr>
              <w:t>2027年年底</w:t>
            </w:r>
            <w:r>
              <w:rPr>
                <w:rFonts w:hint="default" w:ascii="Times New Roman" w:hAnsi="Times New Roman" w:cs="Times New Roman"/>
                <w:color w:val="000000"/>
                <w:sz w:val="28"/>
                <w:szCs w:val="28"/>
                <w:highlight w:val="none"/>
              </w:rPr>
              <w:t>。</w:t>
            </w:r>
          </w:p>
        </w:tc>
      </w:tr>
    </w:tbl>
    <w:p w14:paraId="4C878812">
      <w:pPr>
        <w:ind w:firstLine="539" w:firstLineChars="245"/>
        <w:rPr>
          <w:rFonts w:hint="default" w:ascii="Times New Roman" w:hAnsi="Times New Roman" w:cs="Times New Roman"/>
          <w:sz w:val="22"/>
          <w:szCs w:val="22"/>
        </w:rPr>
      </w:pPr>
      <w:r>
        <w:rPr>
          <w:rFonts w:hint="default" w:ascii="Times New Roman" w:hAnsi="Times New Roman" w:cs="Times New Roman"/>
          <w:sz w:val="22"/>
          <w:szCs w:val="22"/>
        </w:rPr>
        <w:t>说明：</w:t>
      </w:r>
    </w:p>
    <w:p w14:paraId="3B33DAEB">
      <w:pPr>
        <w:numPr>
          <w:ilvl w:val="0"/>
          <w:numId w:val="2"/>
        </w:numPr>
        <w:ind w:firstLine="539" w:firstLineChars="245"/>
        <w:rPr>
          <w:rFonts w:hint="default" w:ascii="Times New Roman" w:hAnsi="Times New Roman" w:cs="Times New Roman"/>
          <w:sz w:val="22"/>
          <w:szCs w:val="22"/>
        </w:rPr>
      </w:pPr>
      <w:r>
        <w:rPr>
          <w:rFonts w:hint="default" w:ascii="Times New Roman" w:hAnsi="Times New Roman" w:cs="Times New Roman"/>
          <w:sz w:val="22"/>
          <w:szCs w:val="22"/>
        </w:rPr>
        <w:t>本次采购采用填报项目总价的方式进行报价，填报时保留小数点后两位；</w:t>
      </w:r>
    </w:p>
    <w:p w14:paraId="6092EB56">
      <w:pPr>
        <w:numPr>
          <w:ilvl w:val="0"/>
          <w:numId w:val="2"/>
        </w:numPr>
        <w:ind w:firstLine="539" w:firstLineChars="245"/>
        <w:rPr>
          <w:rFonts w:hint="default" w:ascii="Times New Roman" w:hAnsi="Times New Roman" w:cs="Times New Roman"/>
          <w:sz w:val="22"/>
          <w:szCs w:val="22"/>
        </w:rPr>
      </w:pPr>
      <w:r>
        <w:rPr>
          <w:rFonts w:hint="default" w:ascii="Times New Roman" w:hAnsi="Times New Roman" w:cs="Times New Roman"/>
          <w:sz w:val="22"/>
          <w:szCs w:val="22"/>
        </w:rPr>
        <w:t>本报价表是项目需求书确定服务范围内的全部服务内容的价格体现，报价应包含项目投入的各项费用及合同实施过程中不可预见费用等。</w:t>
      </w:r>
    </w:p>
    <w:p w14:paraId="0B42DC61">
      <w:pPr>
        <w:numPr>
          <w:ilvl w:val="0"/>
          <w:numId w:val="2"/>
        </w:numPr>
        <w:ind w:firstLine="539" w:firstLineChars="245"/>
        <w:rPr>
          <w:rFonts w:hint="default" w:ascii="Times New Roman" w:hAnsi="Times New Roman" w:cs="Times New Roman"/>
          <w:sz w:val="21"/>
          <w:szCs w:val="21"/>
        </w:rPr>
      </w:pPr>
      <w:r>
        <w:rPr>
          <w:rFonts w:hint="default" w:ascii="Times New Roman" w:hAnsi="Times New Roman" w:cs="Times New Roman"/>
          <w:sz w:val="22"/>
          <w:szCs w:val="22"/>
        </w:rPr>
        <w:t>不提供此表格将被视为没有实质性响应，其响应文件将被拒绝</w:t>
      </w:r>
      <w:r>
        <w:rPr>
          <w:rFonts w:hint="default" w:ascii="Times New Roman" w:hAnsi="Times New Roman" w:cs="Times New Roman"/>
          <w:sz w:val="21"/>
          <w:szCs w:val="21"/>
        </w:rPr>
        <w:t>。</w:t>
      </w:r>
    </w:p>
    <w:p w14:paraId="3BBCCF39">
      <w:pPr>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服务商全称（盖章）：</w:t>
      </w:r>
    </w:p>
    <w:p w14:paraId="172A6864">
      <w:pPr>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服务商代表（签字）：</w:t>
      </w:r>
    </w:p>
    <w:p w14:paraId="6C994B2A">
      <w:pPr>
        <w:ind w:firstLine="220" w:firstLineChars="100"/>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日    期：</w:t>
      </w:r>
    </w:p>
    <w:p w14:paraId="6BEB4D65">
      <w:pPr>
        <w:spacing w:line="360" w:lineRule="auto"/>
        <w:ind w:firstLine="560" w:firstLineChars="200"/>
        <w:rPr>
          <w:rFonts w:hint="default" w:ascii="Times New Roman" w:hAnsi="Times New Roman" w:cs="Times New Roman"/>
          <w:b/>
          <w:color w:val="000000"/>
          <w:sz w:val="28"/>
          <w:szCs w:val="28"/>
        </w:rPr>
      </w:pPr>
      <w:r>
        <w:rPr>
          <w:rFonts w:hint="default" w:ascii="Times New Roman" w:hAnsi="Times New Roman" w:cs="Times New Roman"/>
          <w:color w:val="000000"/>
          <w:sz w:val="28"/>
          <w:szCs w:val="28"/>
        </w:rPr>
        <w:t>附件2</w:t>
      </w:r>
    </w:p>
    <w:p w14:paraId="04EC85D9">
      <w:pPr>
        <w:spacing w:line="360" w:lineRule="auto"/>
        <w:jc w:val="center"/>
        <w:rPr>
          <w:rFonts w:hint="default" w:ascii="Times New Roman" w:hAnsi="Times New Roman" w:cs="Times New Roman"/>
          <w:color w:val="000000"/>
          <w:sz w:val="28"/>
          <w:szCs w:val="28"/>
        </w:rPr>
      </w:pPr>
      <w:r>
        <w:rPr>
          <w:rFonts w:hint="default" w:ascii="Times New Roman" w:hAnsi="Times New Roman" w:cs="Times New Roman"/>
          <w:b/>
          <w:color w:val="000000"/>
          <w:sz w:val="28"/>
          <w:szCs w:val="28"/>
        </w:rPr>
        <w:t>资格条件承诺函</w:t>
      </w:r>
      <w:r>
        <w:rPr>
          <w:rFonts w:hint="default" w:ascii="Times New Roman" w:hAnsi="Times New Roman" w:cs="Times New Roman"/>
          <w:color w:val="000000"/>
          <w:sz w:val="28"/>
          <w:szCs w:val="28"/>
        </w:rPr>
        <w:t xml:space="preserve"> </w:t>
      </w:r>
    </w:p>
    <w:p w14:paraId="346D301B">
      <w:pPr>
        <w:widowControl/>
        <w:snapToGrid w:val="0"/>
        <w:spacing w:line="360" w:lineRule="auto"/>
        <w:jc w:val="left"/>
        <w:rPr>
          <w:rFonts w:hint="default" w:ascii="Times New Roman" w:hAnsi="Times New Roman" w:cs="Times New Roman"/>
          <w:color w:val="000000"/>
          <w:kern w:val="0"/>
          <w:sz w:val="22"/>
          <w:szCs w:val="22"/>
        </w:rPr>
      </w:pPr>
    </w:p>
    <w:p w14:paraId="6B62CC25">
      <w:pPr>
        <w:widowControl/>
        <w:snapToGrid w:val="0"/>
        <w:spacing w:line="360" w:lineRule="auto"/>
        <w:jc w:val="left"/>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东莞市</w:t>
      </w:r>
      <w:r>
        <w:rPr>
          <w:rFonts w:hint="eastAsia" w:cs="Times New Roman"/>
          <w:color w:val="000000"/>
          <w:kern w:val="0"/>
          <w:sz w:val="22"/>
          <w:szCs w:val="22"/>
          <w:lang w:eastAsia="zh-CN"/>
        </w:rPr>
        <w:t>交通运输局</w:t>
      </w:r>
      <w:r>
        <w:rPr>
          <w:rFonts w:hint="default" w:ascii="Times New Roman" w:hAnsi="Times New Roman" w:cs="Times New Roman"/>
          <w:color w:val="000000"/>
          <w:sz w:val="22"/>
          <w:szCs w:val="22"/>
        </w:rPr>
        <w:t>：</w:t>
      </w:r>
    </w:p>
    <w:p w14:paraId="5FF7F131">
      <w:pPr>
        <w:widowControl/>
        <w:spacing w:line="360" w:lineRule="auto"/>
        <w:ind w:firstLine="440" w:firstLineChars="200"/>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我方</w:t>
      </w:r>
      <w:r>
        <w:rPr>
          <w:rFonts w:hint="default" w:ascii="Times New Roman" w:hAnsi="Times New Roman" w:cs="Times New Roman"/>
          <w:color w:val="000000"/>
          <w:sz w:val="22"/>
          <w:szCs w:val="22"/>
          <w:u w:val="single"/>
        </w:rPr>
        <w:t xml:space="preserve">   2026年东莞市交通拥堵治理及治理效果评估   </w:t>
      </w:r>
      <w:r>
        <w:rPr>
          <w:rFonts w:hint="default" w:ascii="Times New Roman" w:hAnsi="Times New Roman" w:cs="Times New Roman"/>
          <w:color w:val="000000"/>
          <w:sz w:val="22"/>
          <w:szCs w:val="22"/>
        </w:rPr>
        <w:t>采购，现郑重承诺，</w:t>
      </w:r>
      <w:r>
        <w:rPr>
          <w:rFonts w:hint="default" w:ascii="Times New Roman" w:hAnsi="Times New Roman" w:cs="Times New Roman"/>
          <w:color w:val="000000"/>
          <w:kern w:val="0"/>
          <w:sz w:val="22"/>
          <w:szCs w:val="22"/>
        </w:rPr>
        <w:t>参加本次政府采购活动前三年内</w:t>
      </w:r>
      <w:r>
        <w:rPr>
          <w:rFonts w:hint="default" w:ascii="Times New Roman" w:hAnsi="Times New Roman" w:cs="Times New Roman"/>
          <w:color w:val="000000"/>
          <w:sz w:val="22"/>
          <w:szCs w:val="22"/>
        </w:rPr>
        <w:t>：</w:t>
      </w:r>
    </w:p>
    <w:p w14:paraId="3D2B111B">
      <w:pPr>
        <w:widowControl/>
        <w:spacing w:line="360" w:lineRule="auto"/>
        <w:ind w:firstLine="440" w:firstLineChars="200"/>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1、我方符合《中华人民共和国政府采购法》第22条规定的资格条件，即：</w:t>
      </w:r>
    </w:p>
    <w:p w14:paraId="3F766074">
      <w:pPr>
        <w:widowControl/>
        <w:snapToGrid w:val="0"/>
        <w:spacing w:line="360" w:lineRule="auto"/>
        <w:ind w:firstLine="440" w:firstLineChars="200"/>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（1）我方具有独立承担民事责任的能力；</w:t>
      </w:r>
    </w:p>
    <w:p w14:paraId="0F29D935">
      <w:pPr>
        <w:widowControl/>
        <w:snapToGrid w:val="0"/>
        <w:spacing w:line="360" w:lineRule="auto"/>
        <w:ind w:firstLine="440" w:firstLineChars="200"/>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（2）我方具有良好的商业信誉和健全的财务会计制度；</w:t>
      </w:r>
    </w:p>
    <w:p w14:paraId="7FC53EEE">
      <w:pPr>
        <w:widowControl/>
        <w:snapToGrid w:val="0"/>
        <w:spacing w:line="360" w:lineRule="auto"/>
        <w:ind w:firstLine="440" w:firstLineChars="200"/>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（3）我方具有履行合同所必需的设备和专业技术能力；</w:t>
      </w:r>
    </w:p>
    <w:p w14:paraId="0460F27E">
      <w:pPr>
        <w:widowControl/>
        <w:snapToGrid w:val="0"/>
        <w:spacing w:line="360" w:lineRule="auto"/>
        <w:ind w:firstLine="440" w:firstLineChars="200"/>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（4）我方有依法缴纳税收和社会保障资金的良好记录；</w:t>
      </w:r>
    </w:p>
    <w:p w14:paraId="43215F9A">
      <w:pPr>
        <w:widowControl/>
        <w:snapToGrid w:val="0"/>
        <w:ind w:firstLine="440" w:firstLineChars="200"/>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5）我方参加本次政府采购活动前3年内在经营活动中没有重大违法记录（没有因违法经营受到刑事处罚，没有被责令停产停业、被吊销许可证或者执照、被处以较大数额罚款等行政处罚，没有因违法经营被禁止参加政府采购活动的期限未满情形）。</w:t>
      </w:r>
    </w:p>
    <w:p w14:paraId="0CFFF08D">
      <w:pPr>
        <w:widowControl/>
        <w:ind w:firstLine="440" w:firstLineChars="200"/>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2、到本项目</w:t>
      </w:r>
      <w:r>
        <w:rPr>
          <w:rFonts w:hint="default" w:ascii="Times New Roman" w:hAnsi="Times New Roman" w:cs="Times New Roman"/>
          <w:color w:val="000000"/>
          <w:sz w:val="22"/>
          <w:szCs w:val="22"/>
        </w:rPr>
        <w:t>采购</w:t>
      </w:r>
      <w:r>
        <w:rPr>
          <w:rFonts w:hint="default" w:ascii="Times New Roman" w:hAnsi="Times New Roman" w:cs="Times New Roman"/>
          <w:color w:val="000000"/>
          <w:kern w:val="0"/>
          <w:sz w:val="22"/>
          <w:szCs w:val="22"/>
        </w:rPr>
        <w:t>截止时间为止，我方未被“信用中国（</w:t>
      </w:r>
      <w:r>
        <w:rPr>
          <w:rFonts w:hint="default" w:ascii="Times New Roman" w:hAnsi="Times New Roman" w:cs="Times New Roman"/>
        </w:rPr>
        <w:fldChar w:fldCharType="begin"/>
      </w:r>
      <w:r>
        <w:rPr>
          <w:rFonts w:hint="default" w:ascii="Times New Roman" w:hAnsi="Times New Roman" w:cs="Times New Roman"/>
        </w:rPr>
        <w:instrText xml:space="preserve"> HYPERLINK "http://www.creditchina.gov.cn）、" </w:instrText>
      </w:r>
      <w:r>
        <w:rPr>
          <w:rFonts w:hint="default" w:ascii="Times New Roman" w:hAnsi="Times New Roman" w:cs="Times New Roman"/>
        </w:rPr>
        <w:fldChar w:fldCharType="separate"/>
      </w:r>
      <w:r>
        <w:rPr>
          <w:rFonts w:hint="default" w:ascii="Times New Roman" w:hAnsi="Times New Roman" w:cs="Times New Roman"/>
          <w:color w:val="000000"/>
          <w:kern w:val="0"/>
          <w:sz w:val="22"/>
          <w:szCs w:val="22"/>
        </w:rPr>
        <w:t>www.creditchina.gov.cn）、</w:t>
      </w:r>
      <w:r>
        <w:rPr>
          <w:rFonts w:hint="default" w:ascii="Times New Roman" w:hAnsi="Times New Roman" w:cs="Times New Roman"/>
          <w:color w:val="000000"/>
          <w:kern w:val="0"/>
          <w:sz w:val="22"/>
          <w:szCs w:val="22"/>
        </w:rPr>
        <w:fldChar w:fldCharType="end"/>
      </w:r>
      <w:r>
        <w:rPr>
          <w:rFonts w:hint="default" w:ascii="Times New Roman" w:hAnsi="Times New Roman" w:cs="Times New Roman"/>
          <w:color w:val="000000"/>
          <w:kern w:val="0"/>
          <w:sz w:val="22"/>
          <w:szCs w:val="22"/>
        </w:rPr>
        <w:t>中国政府采购网（www.ccgp.gov.cn）列入失信被执行人名单、重大税收违法案件当事人名单、政府采购严重违法失信行为记录名单。</w:t>
      </w:r>
    </w:p>
    <w:p w14:paraId="2CEA76F6">
      <w:pPr>
        <w:widowControl/>
        <w:ind w:firstLine="440" w:firstLineChars="200"/>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3、我方与参加本次项目同一合同项下政府采购活动的其他服务商不存在单位负责人为同一人或者直接控股、管理关系。</w:t>
      </w:r>
    </w:p>
    <w:p w14:paraId="488077C9">
      <w:pPr>
        <w:widowControl/>
        <w:ind w:firstLine="440" w:firstLineChars="200"/>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4、我方不属于公益一类事业单位。</w:t>
      </w:r>
    </w:p>
    <w:p w14:paraId="163AC408">
      <w:pPr>
        <w:widowControl/>
        <w:snapToGrid w:val="0"/>
        <w:ind w:firstLine="440" w:firstLineChars="200"/>
        <w:jc w:val="left"/>
        <w:rPr>
          <w:rFonts w:hint="default" w:ascii="Times New Roman" w:hAnsi="Times New Roman" w:cs="Times New Roman"/>
          <w:color w:val="000000"/>
          <w:kern w:val="0"/>
          <w:sz w:val="22"/>
          <w:szCs w:val="22"/>
        </w:rPr>
      </w:pPr>
    </w:p>
    <w:p w14:paraId="7BDDB78D">
      <w:pPr>
        <w:widowControl/>
        <w:snapToGrid w:val="0"/>
        <w:ind w:firstLine="440" w:firstLineChars="200"/>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以上承诺如有虚假，</w:t>
      </w:r>
      <w:r>
        <w:rPr>
          <w:rFonts w:hint="default" w:ascii="Times New Roman" w:hAnsi="Times New Roman" w:cs="Times New Roman"/>
          <w:color w:val="000000"/>
          <w:sz w:val="22"/>
          <w:szCs w:val="22"/>
        </w:rPr>
        <w:t>愿接受取消</w:t>
      </w:r>
      <w:r>
        <w:rPr>
          <w:rFonts w:hint="default" w:ascii="Times New Roman" w:hAnsi="Times New Roman" w:cs="Times New Roman"/>
          <w:color w:val="000000"/>
          <w:kern w:val="0"/>
          <w:sz w:val="22"/>
          <w:szCs w:val="22"/>
        </w:rPr>
        <w:t>我方任何资格（投标/成交/签订合同）</w:t>
      </w:r>
      <w:r>
        <w:rPr>
          <w:rFonts w:hint="default" w:ascii="Times New Roman" w:hAnsi="Times New Roman" w:cs="Times New Roman"/>
          <w:color w:val="000000"/>
          <w:sz w:val="22"/>
          <w:szCs w:val="22"/>
        </w:rPr>
        <w:t>及其他任何形式的处理。</w:t>
      </w:r>
    </w:p>
    <w:p w14:paraId="0702B0EC">
      <w:pPr>
        <w:widowControl/>
        <w:snapToGrid w:val="0"/>
        <w:ind w:firstLine="440" w:firstLineChars="200"/>
        <w:jc w:val="left"/>
        <w:rPr>
          <w:rFonts w:hint="default" w:ascii="Times New Roman" w:hAnsi="Times New Roman" w:cs="Times New Roman"/>
          <w:color w:val="000000"/>
          <w:kern w:val="0"/>
          <w:sz w:val="22"/>
          <w:szCs w:val="22"/>
        </w:rPr>
      </w:pPr>
    </w:p>
    <w:p w14:paraId="11CEF153">
      <w:pPr>
        <w:snapToGrid w:val="0"/>
        <w:ind w:firstLine="5060" w:firstLineChars="2300"/>
        <w:rPr>
          <w:rFonts w:hint="default" w:ascii="Times New Roman" w:hAnsi="Times New Roman" w:cs="Times New Roman"/>
          <w:color w:val="000000"/>
          <w:kern w:val="0"/>
          <w:sz w:val="22"/>
          <w:szCs w:val="22"/>
          <w:lang w:val="zh-CN"/>
        </w:rPr>
      </w:pPr>
    </w:p>
    <w:p w14:paraId="6D2EB470">
      <w:pPr>
        <w:widowControl/>
        <w:snapToGrid w:val="0"/>
        <w:ind w:firstLine="440" w:firstLineChars="200"/>
        <w:jc w:val="left"/>
        <w:rPr>
          <w:rFonts w:hint="default" w:ascii="Times New Roman" w:hAnsi="Times New Roman" w:cs="Times New Roman"/>
          <w:color w:val="000000"/>
          <w:kern w:val="0"/>
          <w:sz w:val="22"/>
          <w:szCs w:val="22"/>
        </w:rPr>
      </w:pPr>
      <w:r>
        <w:rPr>
          <w:rFonts w:hint="default" w:ascii="Times New Roman" w:hAnsi="Times New Roman" w:cs="Times New Roman"/>
          <w:color w:val="000000"/>
          <w:sz w:val="22"/>
          <w:szCs w:val="22"/>
        </w:rPr>
        <w:t>服务商全称（盖章）</w:t>
      </w:r>
      <w:r>
        <w:rPr>
          <w:rFonts w:hint="default" w:ascii="Times New Roman" w:hAnsi="Times New Roman" w:cs="Times New Roman"/>
          <w:color w:val="000000"/>
          <w:kern w:val="0"/>
          <w:sz w:val="22"/>
          <w:szCs w:val="22"/>
        </w:rPr>
        <w:t xml:space="preserve"> ：</w:t>
      </w:r>
    </w:p>
    <w:p w14:paraId="3A99E691">
      <w:pPr>
        <w:widowControl/>
        <w:snapToGrid w:val="0"/>
        <w:ind w:firstLine="440" w:firstLineChars="200"/>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法定代表人或其授权代表（签字或盖章）：</w:t>
      </w:r>
    </w:p>
    <w:p w14:paraId="61931B05">
      <w:pPr>
        <w:pStyle w:val="5"/>
        <w:ind w:left="720" w:leftChars="213" w:hanging="39" w:hangingChars="18"/>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日期：     年    月   日</w:t>
      </w:r>
    </w:p>
    <w:p w14:paraId="6FCCA063">
      <w:pPr>
        <w:spacing w:line="360" w:lineRule="auto"/>
        <w:ind w:firstLine="560" w:firstLineChars="20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附件3</w:t>
      </w:r>
    </w:p>
    <w:p w14:paraId="69FAF90E">
      <w:pPr>
        <w:spacing w:line="360" w:lineRule="auto"/>
        <w:jc w:val="cente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法定代表人授权书</w:t>
      </w:r>
    </w:p>
    <w:p w14:paraId="69109B45">
      <w:pP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东莞市</w:t>
      </w:r>
      <w:r>
        <w:rPr>
          <w:rFonts w:hint="eastAsia" w:cs="Times New Roman"/>
          <w:color w:val="000000"/>
          <w:sz w:val="22"/>
          <w:szCs w:val="22"/>
          <w:lang w:eastAsia="zh-CN"/>
        </w:rPr>
        <w:t>交通运输局</w:t>
      </w:r>
      <w:r>
        <w:rPr>
          <w:rFonts w:hint="default" w:ascii="Times New Roman" w:hAnsi="Times New Roman" w:cs="Times New Roman"/>
          <w:color w:val="000000"/>
          <w:sz w:val="22"/>
          <w:szCs w:val="22"/>
        </w:rPr>
        <w:t>：</w:t>
      </w:r>
    </w:p>
    <w:p w14:paraId="724161B8">
      <w:pPr>
        <w:ind w:firstLine="550" w:firstLineChars="250"/>
        <w:rPr>
          <w:rFonts w:hint="default" w:ascii="Times New Roman" w:hAnsi="Times New Roman" w:cs="Times New Roman"/>
          <w:color w:val="000000"/>
          <w:sz w:val="22"/>
          <w:szCs w:val="22"/>
        </w:rPr>
      </w:pPr>
      <w:r>
        <w:rPr>
          <w:rFonts w:hint="default" w:ascii="Times New Roman" w:hAnsi="Times New Roman" w:cs="Times New Roman"/>
          <w:color w:val="000000"/>
          <w:sz w:val="22"/>
          <w:szCs w:val="22"/>
          <w:u w:val="single"/>
        </w:rPr>
        <w:t xml:space="preserve">             </w:t>
      </w:r>
      <w:r>
        <w:rPr>
          <w:rFonts w:hint="default" w:ascii="Times New Roman" w:hAnsi="Times New Roman" w:cs="Times New Roman"/>
          <w:color w:val="000000"/>
          <w:sz w:val="22"/>
          <w:szCs w:val="22"/>
        </w:rPr>
        <w:t>（服务商全称）法定代表人</w:t>
      </w:r>
      <w:r>
        <w:rPr>
          <w:rFonts w:hint="default" w:ascii="Times New Roman" w:hAnsi="Times New Roman" w:cs="Times New Roman"/>
          <w:color w:val="000000"/>
          <w:sz w:val="22"/>
          <w:szCs w:val="22"/>
          <w:u w:val="single"/>
        </w:rPr>
        <w:t xml:space="preserve">          </w:t>
      </w:r>
      <w:r>
        <w:rPr>
          <w:rFonts w:hint="default" w:ascii="Times New Roman" w:hAnsi="Times New Roman" w:cs="Times New Roman"/>
          <w:color w:val="000000"/>
          <w:sz w:val="22"/>
          <w:szCs w:val="22"/>
        </w:rPr>
        <w:t>授权</w:t>
      </w:r>
      <w:r>
        <w:rPr>
          <w:rFonts w:hint="default" w:ascii="Times New Roman" w:hAnsi="Times New Roman" w:cs="Times New Roman"/>
          <w:color w:val="000000"/>
          <w:sz w:val="22"/>
          <w:szCs w:val="22"/>
          <w:u w:val="single"/>
        </w:rPr>
        <w:t xml:space="preserve">        </w:t>
      </w:r>
      <w:r>
        <w:rPr>
          <w:rFonts w:hint="default" w:ascii="Times New Roman" w:hAnsi="Times New Roman" w:cs="Times New Roman"/>
          <w:color w:val="000000"/>
          <w:sz w:val="22"/>
          <w:szCs w:val="22"/>
        </w:rPr>
        <w:t>（全权代表姓名）为全权代表，参加贵</w:t>
      </w:r>
      <w:r>
        <w:rPr>
          <w:rFonts w:hint="eastAsia" w:cs="Times New Roman"/>
          <w:color w:val="000000"/>
          <w:sz w:val="22"/>
          <w:szCs w:val="22"/>
          <w:lang w:eastAsia="zh-CN"/>
        </w:rPr>
        <w:t>局</w:t>
      </w:r>
      <w:r>
        <w:rPr>
          <w:rFonts w:hint="default" w:ascii="Times New Roman" w:hAnsi="Times New Roman" w:cs="Times New Roman"/>
          <w:color w:val="000000"/>
          <w:sz w:val="22"/>
          <w:szCs w:val="22"/>
        </w:rPr>
        <w:t>组织的</w:t>
      </w:r>
      <w:r>
        <w:rPr>
          <w:rFonts w:hint="default" w:ascii="Times New Roman" w:hAnsi="Times New Roman" w:cs="Times New Roman"/>
          <w:color w:val="000000"/>
          <w:sz w:val="22"/>
          <w:szCs w:val="22"/>
          <w:u w:val="single"/>
        </w:rPr>
        <w:t xml:space="preserve">  2026年东莞市交通拥堵治理及治理效果评估  </w:t>
      </w:r>
      <w:r>
        <w:rPr>
          <w:rFonts w:hint="default" w:ascii="Times New Roman" w:hAnsi="Times New Roman" w:cs="Times New Roman"/>
          <w:color w:val="000000"/>
          <w:sz w:val="22"/>
          <w:szCs w:val="22"/>
        </w:rPr>
        <w:t xml:space="preserve">采购活动，全权代表我方处理采购活动中的一切事宜。         </w:t>
      </w:r>
    </w:p>
    <w:p w14:paraId="28745CD6">
      <w:pPr>
        <w:ind w:firstLine="4620" w:firstLineChars="2100"/>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法定代表人</w:t>
      </w:r>
      <w:r>
        <w:rPr>
          <w:rFonts w:hint="default" w:ascii="Times New Roman" w:hAnsi="Times New Roman" w:cs="Times New Roman"/>
          <w:color w:val="000000"/>
          <w:kern w:val="0"/>
          <w:sz w:val="22"/>
          <w:szCs w:val="22"/>
        </w:rPr>
        <w:t>（签字或盖章）</w:t>
      </w:r>
      <w:r>
        <w:rPr>
          <w:rFonts w:hint="default" w:ascii="Times New Roman" w:hAnsi="Times New Roman" w:cs="Times New Roman"/>
          <w:color w:val="000000"/>
          <w:sz w:val="22"/>
          <w:szCs w:val="22"/>
        </w:rPr>
        <w:t>：</w:t>
      </w:r>
    </w:p>
    <w:p w14:paraId="00A4C51E">
      <w:pPr>
        <w:ind w:firstLine="4620" w:firstLineChars="2100"/>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服务商全称（公章）：</w:t>
      </w:r>
    </w:p>
    <w:p w14:paraId="5B562B25">
      <w:pPr>
        <w:ind w:firstLine="4620" w:firstLineChars="2100"/>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日   期：  </w:t>
      </w:r>
    </w:p>
    <w:p w14:paraId="67C14631">
      <w:pPr>
        <w:ind w:firstLine="539" w:firstLineChars="245"/>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附：</w:t>
      </w:r>
    </w:p>
    <w:p w14:paraId="6442B2AE">
      <w:pPr>
        <w:ind w:firstLine="539" w:firstLineChars="245"/>
        <w:rPr>
          <w:rFonts w:hint="default" w:ascii="Times New Roman" w:hAnsi="Times New Roman" w:cs="Times New Roman"/>
          <w:b/>
          <w:bCs/>
          <w:color w:val="000000"/>
          <w:sz w:val="22"/>
          <w:szCs w:val="22"/>
        </w:rPr>
      </w:pPr>
      <w:r>
        <w:rPr>
          <w:rFonts w:hint="default" w:ascii="Times New Roman" w:hAnsi="Times New Roman" w:cs="Times New Roman"/>
          <w:color w:val="000000"/>
          <w:sz w:val="22"/>
          <w:szCs w:val="22"/>
        </w:rPr>
        <w:t xml:space="preserve">授权代表姓名：                               </w:t>
      </w:r>
    </w:p>
    <w:p w14:paraId="4AAEAFDE">
      <w:pPr>
        <w:ind w:firstLine="539" w:firstLineChars="245"/>
        <w:rPr>
          <w:rFonts w:hint="default" w:ascii="Times New Roman" w:hAnsi="Times New Roman" w:cs="Times New Roman"/>
          <w:b/>
          <w:bCs/>
          <w:color w:val="000000"/>
          <w:sz w:val="22"/>
          <w:szCs w:val="22"/>
        </w:rPr>
      </w:pPr>
      <w:r>
        <w:rPr>
          <w:rFonts w:hint="default" w:ascii="Times New Roman" w:hAnsi="Times New Roman" w:cs="Times New Roman"/>
          <w:color w:val="000000"/>
          <w:sz w:val="22"/>
          <w:szCs w:val="22"/>
        </w:rPr>
        <w:t>职务：</w:t>
      </w:r>
    </w:p>
    <w:p w14:paraId="38E7C17D">
      <w:pPr>
        <w:ind w:firstLine="539" w:firstLineChars="245"/>
        <w:rPr>
          <w:rFonts w:hint="default" w:ascii="Times New Roman" w:hAnsi="Times New Roman" w:cs="Times New Roman"/>
          <w:b/>
          <w:bCs/>
          <w:color w:val="000000"/>
          <w:sz w:val="22"/>
          <w:szCs w:val="22"/>
        </w:rPr>
      </w:pPr>
      <w:r>
        <w:rPr>
          <w:rFonts w:hint="default" w:ascii="Times New Roman" w:hAnsi="Times New Roman" w:cs="Times New Roman"/>
          <w:color w:val="000000"/>
          <w:sz w:val="22"/>
          <w:szCs w:val="22"/>
        </w:rPr>
        <w:t>详细通讯地址：</w:t>
      </w:r>
    </w:p>
    <w:p w14:paraId="1A791552">
      <w:pPr>
        <w:ind w:firstLine="539" w:firstLineChars="245"/>
        <w:rPr>
          <w:rFonts w:hint="default" w:ascii="Times New Roman" w:hAnsi="Times New Roman" w:cs="Times New Roman"/>
          <w:b/>
          <w:bCs/>
          <w:color w:val="000000"/>
          <w:sz w:val="22"/>
          <w:szCs w:val="22"/>
        </w:rPr>
      </w:pPr>
      <w:r>
        <w:rPr>
          <w:rFonts w:hint="default" w:ascii="Times New Roman" w:hAnsi="Times New Roman" w:cs="Times New Roman"/>
          <w:color w:val="000000"/>
          <w:sz w:val="22"/>
          <w:szCs w:val="22"/>
        </w:rPr>
        <w:t>电话：</w:t>
      </w:r>
    </w:p>
    <w:p w14:paraId="10988FA9">
      <w:pPr>
        <w:ind w:firstLine="539" w:firstLineChars="245"/>
        <w:rPr>
          <w:rFonts w:hint="default" w:ascii="Times New Roman" w:hAnsi="Times New Roman" w:cs="Times New Roman"/>
          <w:b/>
          <w:bCs/>
          <w:color w:val="000000"/>
          <w:sz w:val="22"/>
          <w:szCs w:val="22"/>
        </w:rPr>
      </w:pPr>
      <w:r>
        <w:rPr>
          <w:rFonts w:hint="default" w:ascii="Times New Roman" w:hAnsi="Times New Roman" w:cs="Times New Roman"/>
          <w:color w:val="000000"/>
          <w:sz w:val="22"/>
          <w:szCs w:val="22"/>
        </w:rPr>
        <w:t>传真：</w:t>
      </w:r>
    </w:p>
    <w:p w14:paraId="2473EC19">
      <w:pPr>
        <w:ind w:firstLine="539" w:firstLineChars="245"/>
        <w:rPr>
          <w:rFonts w:hint="default" w:ascii="Times New Roman" w:hAnsi="Times New Roman" w:eastAsia="宋体" w:cs="Times New Roman"/>
          <w:b/>
          <w:bCs/>
          <w:color w:val="000000"/>
          <w:sz w:val="22"/>
          <w:szCs w:val="22"/>
        </w:rPr>
      </w:pPr>
      <w:r>
        <w:rPr>
          <w:rFonts w:hint="default" w:ascii="Times New Roman" w:hAnsi="Times New Roman" w:cs="Times New Roman"/>
          <w:color w:val="000000"/>
          <w:sz w:val="22"/>
          <w:szCs w:val="22"/>
        </w:rPr>
        <w:t>邮政编码：</w:t>
      </w:r>
    </w:p>
    <w:p w14:paraId="613879E7">
      <w:pPr>
        <w:rPr>
          <w:rFonts w:hint="default" w:ascii="Times New Roman" w:hAnsi="Times New Roman" w:cs="Times New Roman"/>
        </w:rPr>
      </w:pPr>
      <w:r>
        <w:rPr>
          <w:rFonts w:hint="default" w:ascii="Times New Roman" w:hAnsi="Times New Roman" w:cs="Times New Roman"/>
          <w:color w:val="000000"/>
          <w:sz w:val="22"/>
          <w:szCs w:val="22"/>
        </w:rPr>
        <mc:AlternateContent>
          <mc:Choice Requires="wps">
            <w:drawing>
              <wp:anchor distT="0" distB="0" distL="114300" distR="114300" simplePos="0" relativeHeight="251659264" behindDoc="0" locked="0" layoutInCell="1" allowOverlap="1">
                <wp:simplePos x="0" y="0"/>
                <wp:positionH relativeFrom="column">
                  <wp:posOffset>56515</wp:posOffset>
                </wp:positionH>
                <wp:positionV relativeFrom="paragraph">
                  <wp:posOffset>1270</wp:posOffset>
                </wp:positionV>
                <wp:extent cx="5800090" cy="2431415"/>
                <wp:effectExtent l="5080" t="4445" r="5080" b="21590"/>
                <wp:wrapNone/>
                <wp:docPr id="1029" name="矩形 1029"/>
                <wp:cNvGraphicFramePr/>
                <a:graphic xmlns:a="http://schemas.openxmlformats.org/drawingml/2006/main">
                  <a:graphicData uri="http://schemas.microsoft.com/office/word/2010/wordprocessingShape">
                    <wps:wsp>
                      <wps:cNvSpPr/>
                      <wps:spPr>
                        <a:xfrm>
                          <a:off x="0" y="0"/>
                          <a:ext cx="5800090" cy="24314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8302667">
                            <w:pPr>
                              <w:jc w:val="left"/>
                            </w:pPr>
                            <w:r>
                              <w:rPr>
                                <w:rFonts w:hint="eastAsia" w:ascii="新宋体" w:hAnsi="新宋体" w:eastAsia="新宋体"/>
                                <w:sz w:val="22"/>
                                <w:szCs w:val="22"/>
                              </w:rPr>
                              <w:t>授权代表身份证（正反面）：</w:t>
                            </w:r>
                          </w:p>
                        </w:txbxContent>
                      </wps:txbx>
                      <wps:bodyPr upright="1"/>
                    </wps:wsp>
                  </a:graphicData>
                </a:graphic>
              </wp:anchor>
            </w:drawing>
          </mc:Choice>
          <mc:Fallback>
            <w:pict>
              <v:rect id="_x0000_s1026" o:spid="_x0000_s1026" o:spt="1" style="position:absolute;left:0pt;margin-left:4.45pt;margin-top:0.1pt;height:191.45pt;width:456.7pt;z-index:251659264;mso-width-relative:page;mso-height-relative:page;" fillcolor="#FFFFFF" filled="t" stroked="t" coordsize="21600,21600" o:gfxdata="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&#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rBWZH1AAAAAYBAAAPAAAAAAAAAAEAIAAAACIAAABk&#10;cnMvZG93bnJldi54bWxQSwECFAAUAAAACACHTuJAKe9GNQoCAAA+BAAADgAAAAAAAAABACAAAAAj&#10;AQAAZHJzL2Uyb0RvYy54bWxQSwUGAAAAAAYABgBZAQAAnwUAAAAA&#10;">
                <v:fill on="t" focussize="0,0"/>
                <v:stroke color="#000000" joinstyle="miter"/>
                <v:imagedata o:title=""/>
                <o:lock v:ext="edit" aspectratio="f"/>
                <v:textbox>
                  <w:txbxContent>
                    <w:p w14:paraId="78302667">
                      <w:pPr>
                        <w:jc w:val="left"/>
                      </w:pPr>
                      <w:r>
                        <w:rPr>
                          <w:rFonts w:hint="eastAsia" w:ascii="新宋体" w:hAnsi="新宋体" w:eastAsia="新宋体"/>
                          <w:sz w:val="22"/>
                          <w:szCs w:val="22"/>
                        </w:rPr>
                        <w:t>授权代表身份证（正反面）：</w:t>
                      </w:r>
                    </w:p>
                  </w:txbxContent>
                </v:textbox>
              </v:rect>
            </w:pict>
          </mc:Fallback>
        </mc:AlternateContent>
      </w:r>
      <w:r>
        <w:rPr>
          <w:rFonts w:hint="default" w:ascii="Times New Roman" w:hAnsi="Times New Roman" w:eastAsia="新宋体" w:cs="Times New Roman"/>
          <w:sz w:val="22"/>
          <w:szCs w:val="22"/>
        </w:rPr>
        <w:t xml:space="preserve"> 授权代表身份证（正反面）：</w:t>
      </w:r>
    </w:p>
    <w:p w14:paraId="650D7F41">
      <w:pPr>
        <w:jc w:val="center"/>
        <w:rPr>
          <w:rFonts w:hint="default" w:ascii="Times New Roman" w:hAnsi="Times New Roman" w:cs="Times New Roman"/>
        </w:rPr>
      </w:pPr>
    </w:p>
    <w:p w14:paraId="27D6B425">
      <w:pPr>
        <w:pStyle w:val="15"/>
        <w:ind w:firstLine="0" w:firstLineChars="0"/>
        <w:rPr>
          <w:rFonts w:hint="default" w:ascii="Times New Roman" w:hAnsi="Times New Roman" w:cs="Times New Roman"/>
        </w:rPr>
      </w:pPr>
    </w:p>
    <w:p w14:paraId="309408E5">
      <w:pPr>
        <w:rPr>
          <w:rFonts w:hint="eastAsia" w:eastAsia="仿宋_GB2312"/>
          <w:lang w:val="en-US" w:eastAsia="zh-CN"/>
        </w:rPr>
      </w:pPr>
    </w:p>
    <w:sectPr>
      <w:footerReference r:id="rId6" w:type="first"/>
      <w:footerReference r:id="rId4" w:type="default"/>
      <w:footerReference r:id="rId5" w:type="even"/>
      <w:pgSz w:w="11906" w:h="16838"/>
      <w:pgMar w:top="1701" w:right="1304" w:bottom="1304" w:left="1304" w:header="851" w:footer="1304" w:gutter="0"/>
      <w:cols w:space="720" w:num="1"/>
      <w:titlePg/>
      <w:docGrid w:type="linesAndChars" w:linePitch="5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华文中宋"/>
    <w:panose1 w:val="00000000000000000000"/>
    <w:charset w:val="00"/>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等线">
    <w:altName w:val="华文中宋"/>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78DCF">
    <w:pPr>
      <w:framePr w:w="1067" w:h="562" w:hRule="exact" w:wrap="around" w:vAnchor="text" w:hAnchor="page" w:x="9465" w:y="209"/>
      <w:jc w:val="center"/>
    </w:pPr>
    <w:r>
      <w:rPr>
        <w:rFonts w:hint="eastAsia"/>
      </w:rPr>
      <w:t>—</w:t>
    </w:r>
    <w:r>
      <w:fldChar w:fldCharType="begin"/>
    </w:r>
    <w:r>
      <w:instrText xml:space="preserve">PAGE  </w:instrText>
    </w:r>
    <w:r>
      <w:fldChar w:fldCharType="separate"/>
    </w:r>
    <w:r>
      <w:t>3</w:t>
    </w:r>
    <w:r>
      <w:fldChar w:fldCharType="end"/>
    </w:r>
    <w:r>
      <w:rPr>
        <w:rFonts w:hint="eastAsia"/>
      </w:rPr>
      <w:t>—</w:t>
    </w:r>
  </w:p>
  <w:p w14:paraId="2AF3074E">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45BE8">
    <w:pPr>
      <w:framePr w:wrap="notBeside" w:vAnchor="page" w:hAnchor="page" w:x="1625" w:y="15422"/>
    </w:pPr>
    <w:r>
      <w:rPr>
        <w:rFonts w:hint="eastAsia"/>
      </w:rPr>
      <w:t>—</w:t>
    </w:r>
    <w:r>
      <w:fldChar w:fldCharType="begin"/>
    </w:r>
    <w:r>
      <w:instrText xml:space="preserve">PAGE  </w:instrText>
    </w:r>
    <w:r>
      <w:fldChar w:fldCharType="separate"/>
    </w:r>
    <w:r>
      <w:t>2</w:t>
    </w:r>
    <w:r>
      <w:fldChar w:fldCharType="end"/>
    </w:r>
    <w:r>
      <w:rPr>
        <w:rFonts w:hint="eastAsia"/>
      </w:rPr>
      <w:t>—</w:t>
    </w:r>
  </w:p>
  <w:p w14:paraId="654F9A6C">
    <w:pPr>
      <w:ind w:right="360"/>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AD6D9">
    <w:pPr>
      <w:ind w:right="7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4B89BE8E">
      <w:pPr>
        <w:pStyle w:val="11"/>
        <w:snapToGrid w:val="0"/>
        <w:rPr>
          <w:rFonts w:hint="eastAsia" w:eastAsia="仿宋_GB2312"/>
          <w:sz w:val="22"/>
          <w:szCs w:val="44"/>
          <w:lang w:val="en-US" w:eastAsia="zh-CN"/>
        </w:rPr>
      </w:pPr>
      <w:r>
        <w:rPr>
          <w:rStyle w:val="14"/>
        </w:rPr>
        <w:footnoteRef/>
      </w:r>
      <w:r>
        <w:t xml:space="preserve"> </w:t>
      </w:r>
      <w:r>
        <w:rPr>
          <w:rFonts w:hint="eastAsia"/>
          <w:sz w:val="22"/>
          <w:szCs w:val="44"/>
        </w:rPr>
        <w:t>拥堵片区是指由不少于4个</w:t>
      </w:r>
      <w:r>
        <w:rPr>
          <w:rFonts w:hint="eastAsia"/>
          <w:sz w:val="22"/>
          <w:szCs w:val="44"/>
          <w:lang w:eastAsia="zh-CN"/>
        </w:rPr>
        <w:t>信号灯路</w:t>
      </w:r>
      <w:r>
        <w:rPr>
          <w:rFonts w:hint="eastAsia"/>
          <w:sz w:val="22"/>
          <w:szCs w:val="44"/>
        </w:rPr>
        <w:t>口围合而成的</w:t>
      </w:r>
      <w:r>
        <w:rPr>
          <w:rFonts w:hint="eastAsia"/>
          <w:sz w:val="22"/>
          <w:szCs w:val="44"/>
          <w:lang w:eastAsia="zh-CN"/>
        </w:rPr>
        <w:t>中心城区</w:t>
      </w:r>
      <w:r>
        <w:rPr>
          <w:rFonts w:hint="eastAsia"/>
          <w:sz w:val="22"/>
          <w:szCs w:val="44"/>
        </w:rPr>
        <w:t>区域。</w:t>
      </w:r>
    </w:p>
  </w:footnote>
  <w:footnote w:id="1">
    <w:p w14:paraId="788E6A44">
      <w:pPr>
        <w:pStyle w:val="11"/>
        <w:snapToGrid w:val="0"/>
        <w:rPr>
          <w:rFonts w:hint="eastAsia" w:eastAsia="仿宋_GB2312"/>
          <w:sz w:val="22"/>
          <w:szCs w:val="44"/>
          <w:lang w:val="en-US" w:eastAsia="zh-CN"/>
        </w:rPr>
      </w:pPr>
      <w:r>
        <w:rPr>
          <w:rStyle w:val="14"/>
        </w:rPr>
        <w:footnoteRef/>
      </w:r>
      <w:r>
        <w:t xml:space="preserve"> </w:t>
      </w:r>
      <w:r>
        <w:rPr>
          <w:rFonts w:hint="eastAsia"/>
          <w:sz w:val="22"/>
          <w:szCs w:val="44"/>
          <w:lang w:eastAsia="zh-CN"/>
        </w:rPr>
        <w:t>路口是指全市信号灯路口中早晚高峰均拥堵的路口。</w:t>
      </w:r>
    </w:p>
    <w:p w14:paraId="62D76687">
      <w:pPr>
        <w:pStyle w:val="11"/>
        <w:snapToGrid w:val="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singleLevel"/>
    <w:tmpl w:val="00000004"/>
    <w:lvl w:ilvl="0" w:tentative="0">
      <w:start w:val="1"/>
      <w:numFmt w:val="decimal"/>
      <w:suff w:val="nothing"/>
      <w:lvlText w:val="%1、"/>
      <w:lvlJc w:val="left"/>
    </w:lvl>
  </w:abstractNum>
  <w:abstractNum w:abstractNumId="1">
    <w:nsid w:val="2B266DE4"/>
    <w:multiLevelType w:val="singleLevel"/>
    <w:tmpl w:val="2B266DE4"/>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4"/>
    <w:footnote w:id="5"/>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2F1D24"/>
    <w:rsid w:val="00DA41C6"/>
    <w:rsid w:val="010F171D"/>
    <w:rsid w:val="025621A2"/>
    <w:rsid w:val="02F67ED8"/>
    <w:rsid w:val="07C141F8"/>
    <w:rsid w:val="0CA72759"/>
    <w:rsid w:val="0CB30616"/>
    <w:rsid w:val="13784D63"/>
    <w:rsid w:val="14E7655D"/>
    <w:rsid w:val="20D608F7"/>
    <w:rsid w:val="224951C9"/>
    <w:rsid w:val="2AAA5337"/>
    <w:rsid w:val="34451753"/>
    <w:rsid w:val="357644CA"/>
    <w:rsid w:val="3888160C"/>
    <w:rsid w:val="3DB825B4"/>
    <w:rsid w:val="40CE06C4"/>
    <w:rsid w:val="424E6DB4"/>
    <w:rsid w:val="480E77C6"/>
    <w:rsid w:val="55CD357A"/>
    <w:rsid w:val="5799559E"/>
    <w:rsid w:val="59B87950"/>
    <w:rsid w:val="5A12402E"/>
    <w:rsid w:val="5A781ECD"/>
    <w:rsid w:val="5C2F1D24"/>
    <w:rsid w:val="6A5B450C"/>
    <w:rsid w:val="6A7F5A1F"/>
    <w:rsid w:val="6EBE70AA"/>
    <w:rsid w:val="758D4034"/>
    <w:rsid w:val="7DB3762C"/>
    <w:rsid w:val="A35D7FDB"/>
    <w:rsid w:val="B1BBD612"/>
    <w:rsid w:val="D737B7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4"/>
    <w:qFormat/>
    <w:uiPriority w:val="1"/>
    <w:pPr>
      <w:spacing w:after="120"/>
    </w:pPr>
  </w:style>
  <w:style w:type="paragraph" w:styleId="4">
    <w:name w:val="Body Text First Indent"/>
    <w:basedOn w:val="3"/>
    <w:qFormat/>
    <w:uiPriority w:val="99"/>
    <w:pPr>
      <w:ind w:firstLine="420" w:firstLineChars="100"/>
    </w:pPr>
    <w:rPr>
      <w:rFonts w:eastAsia="宋体"/>
      <w:sz w:val="21"/>
    </w:rPr>
  </w:style>
  <w:style w:type="paragraph" w:styleId="5">
    <w:name w:val="Body Text Indent"/>
    <w:basedOn w:val="1"/>
    <w:next w:val="6"/>
    <w:qFormat/>
    <w:uiPriority w:val="0"/>
    <w:pPr>
      <w:ind w:left="480" w:hanging="480" w:hangingChars="200"/>
    </w:pPr>
    <w:rPr>
      <w:sz w:val="24"/>
    </w:rPr>
  </w:style>
  <w:style w:type="paragraph" w:customStyle="1" w:styleId="6">
    <w:name w:val="正文文本首行缩进 21"/>
    <w:basedOn w:val="7"/>
    <w:qFormat/>
    <w:uiPriority w:val="99"/>
    <w:pPr>
      <w:tabs>
        <w:tab w:val="right" w:leader="dot" w:pos="8268"/>
      </w:tabs>
      <w:spacing w:line="200" w:lineRule="atLeast"/>
      <w:ind w:firstLine="420"/>
    </w:pPr>
    <w:rPr>
      <w:rFonts w:hAnsi="Courier New"/>
      <w:spacing w:val="-4"/>
      <w:sz w:val="18"/>
    </w:rPr>
  </w:style>
  <w:style w:type="paragraph" w:customStyle="1" w:styleId="7">
    <w:name w:val="正文缩进1"/>
    <w:basedOn w:val="8"/>
    <w:next w:val="6"/>
    <w:qFormat/>
    <w:uiPriority w:val="0"/>
    <w:pPr>
      <w:autoSpaceDE w:val="0"/>
      <w:autoSpaceDN w:val="0"/>
      <w:adjustRightInd w:val="0"/>
      <w:snapToGrid w:val="0"/>
      <w:spacing w:after="120"/>
      <w:ind w:left="420" w:leftChars="200" w:firstLine="480" w:firstLineChars="200"/>
    </w:pPr>
    <w:rPr>
      <w:sz w:val="24"/>
      <w:szCs w:val="21"/>
    </w:rPr>
  </w:style>
  <w:style w:type="paragraph" w:customStyle="1" w:styleId="8">
    <w:name w:val="正文1"/>
    <w:basedOn w:val="9"/>
    <w:next w:val="10"/>
    <w:qFormat/>
    <w:uiPriority w:val="0"/>
    <w:pPr>
      <w:widowControl/>
      <w:spacing w:line="360" w:lineRule="auto"/>
      <w:ind w:left="360" w:firstLine="420"/>
      <w:jc w:val="left"/>
    </w:pPr>
    <w:rPr>
      <w:rFonts w:ascii="宋体" w:hAnsi="宋体" w:cs="宋体"/>
      <w:kern w:val="0"/>
      <w:szCs w:val="20"/>
    </w:rPr>
  </w:style>
  <w:style w:type="paragraph" w:styleId="9">
    <w:name w:val="toc 3"/>
    <w:basedOn w:val="1"/>
    <w:next w:val="1"/>
    <w:qFormat/>
    <w:uiPriority w:val="0"/>
    <w:pPr>
      <w:ind w:left="840" w:leftChars="400"/>
    </w:pPr>
  </w:style>
  <w:style w:type="paragraph" w:customStyle="1" w:styleId="10">
    <w:name w:val="标题 21"/>
    <w:basedOn w:val="8"/>
    <w:next w:val="8"/>
    <w:qFormat/>
    <w:uiPriority w:val="0"/>
    <w:pPr>
      <w:keepNext/>
      <w:keepLines/>
      <w:tabs>
        <w:tab w:val="left" w:pos="706"/>
      </w:tabs>
      <w:ind w:left="106" w:firstLine="454"/>
      <w:outlineLvl w:val="1"/>
    </w:pPr>
    <w:rPr>
      <w:rFonts w:ascii="Arial" w:hAnsi="Arial" w:eastAsia="??"/>
      <w:b/>
      <w:bCs/>
      <w:szCs w:val="32"/>
    </w:rPr>
  </w:style>
  <w:style w:type="paragraph" w:styleId="11">
    <w:name w:val="footnote text"/>
    <w:basedOn w:val="1"/>
    <w:qFormat/>
    <w:uiPriority w:val="0"/>
    <w:pPr>
      <w:snapToGrid w:val="0"/>
      <w:jc w:val="left"/>
    </w:pPr>
    <w:rPr>
      <w:sz w:val="18"/>
    </w:rPr>
  </w:style>
  <w:style w:type="character" w:styleId="14">
    <w:name w:val="footnote reference"/>
    <w:basedOn w:val="13"/>
    <w:qFormat/>
    <w:uiPriority w:val="0"/>
    <w:rPr>
      <w:vertAlign w:val="superscript"/>
    </w:rPr>
  </w:style>
  <w:style w:type="paragraph" w:customStyle="1" w:styleId="15">
    <w:name w:val="住建局正文"/>
    <w:qFormat/>
    <w:uiPriority w:val="0"/>
    <w:pPr>
      <w:widowControl w:val="0"/>
      <w:spacing w:line="560" w:lineRule="exact"/>
      <w:ind w:firstLine="200" w:firstLineChars="200"/>
      <w:jc w:val="both"/>
    </w:pPr>
    <w:rPr>
      <w:rFonts w:ascii="Times New Roman" w:hAnsi="Times New Roman" w:eastAsia="仿宋_GB2312" w:cs="Times New Roman"/>
      <w:kern w:val="2"/>
      <w:sz w:val="32"/>
      <w:szCs w:val="24"/>
      <w:lang w:val="en-US" w:eastAsia="zh-CN" w:bidi="ar-SA"/>
    </w:rPr>
  </w:style>
  <w:style w:type="paragraph" w:styleId="16">
    <w:name w:val="List Paragraph"/>
    <w:basedOn w:val="1"/>
    <w:qFormat/>
    <w:uiPriority w:val="34"/>
    <w:pPr>
      <w:ind w:firstLine="420" w:firstLineChars="200"/>
    </w:pPr>
  </w:style>
  <w:style w:type="paragraph" w:customStyle="1" w:styleId="17">
    <w:name w:val="_Style 13"/>
    <w:qFormat/>
    <w:uiPriority w:val="0"/>
    <w:pPr>
      <w:spacing w:before="120" w:after="120" w:line="288" w:lineRule="auto"/>
    </w:pPr>
    <w:rPr>
      <w:rFonts w:ascii="Arial" w:hAnsi="Arial" w:eastAsia="等线" w:cs="Arial"/>
      <w:sz w:val="22"/>
      <w:szCs w:val="22"/>
      <w:lang w:val="en-US" w:eastAsia="zh-CN" w:bidi="ar-SA"/>
    </w:rPr>
  </w:style>
  <w:style w:type="table" w:customStyle="1" w:styleId="18">
    <w:name w:val="Table Normal"/>
    <w:basedOn w:val="12"/>
    <w:semiHidden/>
    <w:qFormat/>
    <w:uiPriority w:val="0"/>
    <w:pPr>
      <w:widowControl w:val="0"/>
      <w:autoSpaceDE w:val="0"/>
      <w:autoSpaceDN w:val="0"/>
    </w:pPr>
    <w:rPr>
      <w:sz w:val="22"/>
      <w:szCs w:val="22"/>
      <w:lang w:eastAsia="en-US"/>
    </w:rPr>
    <w:tblPr>
      <w:tblCellMar>
        <w:left w:w="0" w:type="dxa"/>
        <w:right w:w="0" w:type="dxa"/>
      </w:tblCellMar>
    </w:tblPr>
  </w:style>
  <w:style w:type="paragraph" w:customStyle="1" w:styleId="19">
    <w:name w:val="null3"/>
    <w:qFormat/>
    <w:uiPriority w:val="0"/>
    <w:rPr>
      <w:rFonts w:hint="eastAsia" w:ascii="Calibri" w:hAnsi="Calibri" w:eastAsia="宋体" w:cs="Times New Roman"/>
      <w:lang w:val="en-US" w:eastAsia="zh-Hans" w:bidi="ar-SA"/>
    </w:rPr>
  </w:style>
  <w:style w:type="character" w:customStyle="1" w:styleId="20">
    <w:name w:val="font41"/>
    <w:basedOn w:val="13"/>
    <w:qFormat/>
    <w:uiPriority w:val="0"/>
    <w:rPr>
      <w:rFonts w:hint="eastAsia" w:ascii="宋体" w:hAnsi="宋体" w:eastAsia="宋体" w:cs="宋体"/>
      <w:color w:val="000000"/>
      <w:sz w:val="22"/>
      <w:szCs w:val="22"/>
      <w:u w:val="none"/>
    </w:rPr>
  </w:style>
  <w:style w:type="character" w:customStyle="1" w:styleId="21">
    <w:name w:val="font01"/>
    <w:basedOn w:val="13"/>
    <w:qFormat/>
    <w:uiPriority w:val="0"/>
    <w:rPr>
      <w:rFonts w:hint="eastAsia" w:ascii="宋体" w:hAnsi="宋体" w:eastAsia="宋体" w:cs="宋体"/>
      <w:color w:val="000000"/>
      <w:sz w:val="22"/>
      <w:szCs w:val="22"/>
      <w:u w:val="none"/>
    </w:rPr>
  </w:style>
  <w:style w:type="character" w:customStyle="1" w:styleId="22">
    <w:name w:val="font31"/>
    <w:basedOn w:val="13"/>
    <w:qFormat/>
    <w:uiPriority w:val="0"/>
    <w:rPr>
      <w:rFonts w:hint="default" w:ascii="Times New Roman" w:hAnsi="Times New Roman" w:cs="Times New Roman"/>
      <w:color w:val="000000"/>
      <w:sz w:val="22"/>
      <w:szCs w:val="22"/>
      <w:u w:val="none"/>
    </w:rPr>
  </w:style>
  <w:style w:type="character" w:customStyle="1" w:styleId="23">
    <w:name w:val="font11"/>
    <w:basedOn w:val="13"/>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2454</Words>
  <Characters>2605</Characters>
  <Lines>0</Lines>
  <Paragraphs>0</Paragraphs>
  <TotalTime>11</TotalTime>
  <ScaleCrop>false</ScaleCrop>
  <LinksUpToDate>false</LinksUpToDate>
  <CharactersWithSpaces>2610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2026-03-16T19:38:00Z</dcterms:created>
  <dc:creator>Ao</dc:creator>
  <cp:lastModifiedBy>AAa</cp:lastModifiedBy>
  <dcterms:modified xsi:type="dcterms:W3CDTF">2026-03-26T00:50:45Z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F3617FA07AF54F16BE3E190C244E9EB8_13</vt:lpwstr>
  </property>
  <property fmtid="{D5CDD505-2E9C-101B-9397-08002B2CF9AE}" pid="4" name="KSOTemplateDocerSaveRecord">
    <vt:lpwstr>eyJoZGlkIjoiNWMyZGNhNzU1NGVmNTFiYTI0MTFlMzkzYTQ5NWIxNTAiLCJ1c2VySWQiOiIzNjk1NjI3NjIifQ==</vt:lpwstr>
  </property>
</Properties>
</file>