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firstLine="272" w:firstLineChars="62"/>
        <w:jc w:val="center"/>
        <w:rPr>
          <w:rFonts w:hint="default" w:ascii="Times New Roman" w:hAnsi="Times New Roman" w:cs="Times New Roman"/>
        </w:rPr>
      </w:pP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2026年东莞市交通拥堵治理及治理效果评估项目采购需求书</w:t>
      </w:r>
    </w:p>
    <w:p>
      <w:pPr>
        <w:pStyle w:val="15"/>
        <w:ind w:firstLine="198" w:firstLineChars="62"/>
        <w:jc w:val="center"/>
        <w:rPr>
          <w:rFonts w:hint="default" w:ascii="Times New Roman" w:hAnsi="Times New Roman" w:cs="Times New Roman"/>
        </w:rPr>
      </w:pPr>
    </w:p>
    <w:p>
      <w:pPr>
        <w:pStyle w:val="15"/>
        <w:ind w:firstLine="198" w:firstLineChars="62"/>
        <w:jc w:val="center"/>
        <w:rPr>
          <w:rFonts w:hint="default" w:ascii="Times New Roman" w:hAnsi="Times New Roman" w:cs="Times New Roman"/>
          <w:szCs w:val="32"/>
        </w:rPr>
      </w:pPr>
    </w:p>
    <w:p>
      <w:pPr>
        <w:pStyle w:val="15"/>
        <w:spacing w:line="520" w:lineRule="exact"/>
        <w:ind w:firstLine="0" w:firstLineChars="0"/>
        <w:jc w:val="center"/>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第一部分 项目基本情况</w:t>
      </w:r>
    </w:p>
    <w:p>
      <w:pPr>
        <w:spacing w:line="520" w:lineRule="exact"/>
        <w:ind w:firstLine="640" w:firstLineChars="200"/>
        <w:rPr>
          <w:rFonts w:hint="default" w:ascii="Times New Roman" w:hAnsi="Times New Roman" w:eastAsia="黑体" w:cs="Times New Roman"/>
          <w:color w:val="000000"/>
          <w:kern w:val="0"/>
        </w:rPr>
      </w:pPr>
      <w:r>
        <w:rPr>
          <w:rFonts w:hint="default" w:ascii="Times New Roman" w:hAnsi="Times New Roman" w:eastAsia="黑体" w:cs="Times New Roman"/>
          <w:color w:val="000000"/>
          <w:kern w:val="0"/>
        </w:rPr>
        <w:t>一、采购人名称</w:t>
      </w:r>
    </w:p>
    <w:p>
      <w:pPr>
        <w:pStyle w:val="15"/>
        <w:spacing w:line="52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东莞市交通运输局</w:t>
      </w:r>
    </w:p>
    <w:p>
      <w:pPr>
        <w:pStyle w:val="15"/>
        <w:spacing w:line="520" w:lineRule="exact"/>
        <w:ind w:firstLine="640"/>
        <w:rPr>
          <w:rFonts w:hint="default" w:ascii="Times New Roman" w:hAnsi="Times New Roman" w:cs="Times New Roman"/>
        </w:rPr>
      </w:pPr>
      <w:r>
        <w:rPr>
          <w:rFonts w:hint="default" w:ascii="Times New Roman" w:hAnsi="Times New Roman" w:eastAsia="黑体" w:cs="Times New Roman"/>
          <w:szCs w:val="32"/>
        </w:rPr>
        <w:t>二、采购项目名称</w:t>
      </w:r>
    </w:p>
    <w:p>
      <w:pPr>
        <w:ind w:firstLine="640" w:firstLineChars="200"/>
        <w:rPr>
          <w:rFonts w:hint="default" w:ascii="Times New Roman" w:hAnsi="Times New Roman" w:eastAsia="仿宋_GB2312" w:cs="Times New Roman"/>
          <w:lang w:eastAsia="zh-CN"/>
        </w:rPr>
      </w:pPr>
      <w:r>
        <w:rPr>
          <w:rFonts w:hint="default" w:ascii="Times New Roman" w:hAnsi="Times New Roman" w:cs="Times New Roman"/>
        </w:rPr>
        <w:t>2026年东莞市交通拥堵治理及治理效果评估</w:t>
      </w:r>
    </w:p>
    <w:p>
      <w:pPr>
        <w:pStyle w:val="16"/>
        <w:ind w:firstLine="640"/>
        <w:rPr>
          <w:rFonts w:hint="default" w:ascii="Times New Roman" w:hAnsi="Times New Roman" w:eastAsia="楷体_GB2312" w:cs="Times New Roman"/>
        </w:rPr>
      </w:pPr>
      <w:r>
        <w:rPr>
          <w:rFonts w:hint="default" w:ascii="Times New Roman" w:hAnsi="Times New Roman" w:eastAsia="黑体" w:cs="Times New Roman"/>
          <w:bCs/>
        </w:rPr>
        <w:t>三、项目概况</w:t>
      </w:r>
    </w:p>
    <w:p>
      <w:pPr>
        <w:ind w:firstLine="640" w:firstLineChars="200"/>
        <w:rPr>
          <w:rFonts w:hint="default" w:ascii="Times New Roman" w:hAnsi="Times New Roman" w:cs="Times New Roman"/>
        </w:rPr>
      </w:pPr>
      <w:r>
        <w:rPr>
          <w:rFonts w:hint="default" w:ascii="Times New Roman" w:hAnsi="Times New Roman" w:cs="Times New Roman"/>
        </w:rPr>
        <w:t>交通拥堵综合治理是一项长期性、复杂性、综合性的系统工程，且涉及面广、敏感度高、专业性强。为系统推进全市交通拥堵节点治理工作，巩固前期交通治理成效，迫切需要开展2026年交通拥堵治理及治理效果评估研究工作，并引入熟悉我市交通拥堵现状、具有丰富拥堵治理经验的第三方研究机构提供专业技术支撑服务，以此保障治理措施的科学性、可行性及成果落地的实效性。</w:t>
      </w:r>
    </w:p>
    <w:p>
      <w:pPr>
        <w:pStyle w:val="15"/>
        <w:spacing w:line="520" w:lineRule="exact"/>
        <w:ind w:firstLine="0" w:firstLineChars="0"/>
        <w:rPr>
          <w:rFonts w:hint="default" w:ascii="Times New Roman" w:hAnsi="Times New Roman" w:cs="Times New Roman"/>
        </w:rPr>
      </w:pPr>
    </w:p>
    <w:p>
      <w:pPr>
        <w:pStyle w:val="15"/>
        <w:spacing w:line="520" w:lineRule="exact"/>
        <w:ind w:firstLine="0" w:firstLineChars="0"/>
        <w:jc w:val="center"/>
        <w:rPr>
          <w:rFonts w:hint="default" w:ascii="Times New Roman" w:hAnsi="Times New Roman" w:cs="Times New Roman"/>
          <w:b/>
          <w:bCs/>
        </w:rPr>
      </w:pPr>
      <w:r>
        <w:rPr>
          <w:rFonts w:hint="default" w:ascii="Times New Roman" w:hAnsi="Times New Roman" w:eastAsia="黑体" w:cs="Times New Roman"/>
          <w:szCs w:val="32"/>
        </w:rPr>
        <w:t>第二部分 采购需求</w:t>
      </w:r>
    </w:p>
    <w:p>
      <w:pPr>
        <w:spacing w:line="52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一、服务总体要求</w:t>
      </w:r>
    </w:p>
    <w:p>
      <w:pPr>
        <w:pStyle w:val="16"/>
        <w:ind w:firstLine="640"/>
        <w:rPr>
          <w:rFonts w:hint="eastAsia" w:cs="Times New Roman"/>
          <w:lang w:val="en-US" w:eastAsia="zh-CN"/>
        </w:rPr>
      </w:pPr>
      <w:r>
        <w:rPr>
          <w:rFonts w:hint="default" w:ascii="Times New Roman" w:hAnsi="Times New Roman" w:cs="Times New Roman"/>
        </w:rPr>
        <w:t>为加强交通拥堵治理，系统推进节点交通疏解工作，</w:t>
      </w:r>
      <w:r>
        <w:rPr>
          <w:rFonts w:hint="eastAsia" w:cs="Times New Roman"/>
          <w:lang w:eastAsia="zh-CN"/>
        </w:rPr>
        <w:t>推动</w:t>
      </w:r>
      <w:r>
        <w:rPr>
          <w:rFonts w:hint="default" w:ascii="Times New Roman" w:hAnsi="Times New Roman" w:cs="Times New Roman"/>
        </w:rPr>
        <w:t>《2026年东莞市交通拥堵治理及治理效果评估》项目研究工作，主要研究内容</w:t>
      </w:r>
      <w:r>
        <w:rPr>
          <w:rFonts w:hint="eastAsia" w:cs="Times New Roman"/>
          <w:lang w:eastAsia="zh-CN"/>
        </w:rPr>
        <w:t>包括</w:t>
      </w:r>
      <w:r>
        <w:rPr>
          <w:rFonts w:hint="default" w:ascii="Times New Roman" w:hAnsi="Times New Roman" w:cs="Times New Roman"/>
        </w:rPr>
        <w:t>：一是现状情况分析，针对道路设施及运行状况开展实地调研，对拥堵</w:t>
      </w:r>
      <w:r>
        <w:rPr>
          <w:rFonts w:hint="eastAsia" w:cs="Times New Roman"/>
          <w:lang w:eastAsia="zh-CN"/>
        </w:rPr>
        <w:t>路口</w:t>
      </w:r>
      <w:r>
        <w:rPr>
          <w:rFonts w:hint="default" w:ascii="Times New Roman" w:hAnsi="Times New Roman" w:cs="Times New Roman"/>
        </w:rPr>
        <w:t>、路段、区域</w:t>
      </w:r>
      <w:r>
        <w:rPr>
          <w:rFonts w:hint="eastAsia" w:cs="Times New Roman"/>
          <w:lang w:eastAsia="zh-CN"/>
        </w:rPr>
        <w:t>等</w:t>
      </w:r>
      <w:r>
        <w:rPr>
          <w:rFonts w:hint="default" w:ascii="Times New Roman" w:hAnsi="Times New Roman" w:cs="Times New Roman"/>
        </w:rPr>
        <w:t>进行梳理排查，分类总结特点及成因。二是明确交通拥堵治理总体目标，结合实际情况制定系统性治理策略。三是聚焦到明确本年度急需治理的拥堵片区</w:t>
      </w:r>
      <w:r>
        <w:rPr>
          <w:rStyle w:val="14"/>
          <w:rFonts w:hint="default" w:ascii="Times New Roman" w:hAnsi="Times New Roman" w:cs="Times New Roman"/>
        </w:rPr>
        <w:footnoteReference w:id="0"/>
      </w:r>
      <w:r>
        <w:rPr>
          <w:rFonts w:hint="default" w:ascii="Times New Roman" w:hAnsi="Times New Roman" w:cs="Times New Roman"/>
        </w:rPr>
        <w:t>和</w:t>
      </w:r>
      <w:r>
        <w:rPr>
          <w:rFonts w:hint="eastAsia" w:cs="Times New Roman"/>
          <w:lang w:eastAsia="zh-CN"/>
        </w:rPr>
        <w:t>路口</w:t>
      </w:r>
      <w:r>
        <w:rPr>
          <w:rStyle w:val="14"/>
          <w:rFonts w:hint="eastAsia" w:cs="Times New Roman"/>
          <w:lang w:eastAsia="zh-CN"/>
        </w:rPr>
        <w:footnoteReference w:id="1"/>
      </w:r>
      <w:r>
        <w:rPr>
          <w:rFonts w:hint="default" w:ascii="Times New Roman" w:hAnsi="Times New Roman" w:cs="Times New Roman"/>
        </w:rPr>
        <w:t>（2个片区和30个路口），细化制定可落地的详细改善方案。四是实施效果评估，通过科学评估及时调整优化治理举措，形成治理、评估、优化的闭环管理体系，持续提升交通拥堵治理成效。</w:t>
      </w:r>
      <w:r>
        <w:rPr>
          <w:rFonts w:hint="eastAsia" w:cs="Times New Roman"/>
          <w:lang w:val="en-US" w:eastAsia="zh-CN"/>
        </w:rPr>
        <w:t xml:space="preserve">  </w:t>
      </w:r>
    </w:p>
    <w:p>
      <w:pPr>
        <w:pStyle w:val="16"/>
        <w:ind w:firstLine="640"/>
        <w:rPr>
          <w:rFonts w:hint="default" w:ascii="Times New Roman" w:hAnsi="Times New Roman" w:eastAsia="黑体" w:cs="Times New Roman"/>
          <w:bCs/>
          <w:highlight w:val="none"/>
        </w:rPr>
      </w:pPr>
      <w:r>
        <w:rPr>
          <w:rFonts w:hint="default" w:ascii="Times New Roman" w:hAnsi="Times New Roman" w:eastAsia="黑体" w:cs="Times New Roman"/>
          <w:bCs/>
          <w:highlight w:val="none"/>
        </w:rPr>
        <w:t>二、</w:t>
      </w:r>
      <w:r>
        <w:rPr>
          <w:rFonts w:hint="eastAsia" w:eastAsia="黑体" w:cs="Times New Roman"/>
          <w:bCs/>
          <w:highlight w:val="none"/>
          <w:lang w:eastAsia="zh-CN"/>
        </w:rPr>
        <w:t>成果</w:t>
      </w:r>
      <w:r>
        <w:rPr>
          <w:rFonts w:hint="default" w:ascii="Times New Roman" w:hAnsi="Times New Roman" w:eastAsia="黑体" w:cs="Times New Roman"/>
          <w:bCs/>
          <w:highlight w:val="none"/>
        </w:rPr>
        <w:t>要求</w:t>
      </w:r>
    </w:p>
    <w:p>
      <w:pPr>
        <w:pStyle w:val="16"/>
        <w:ind w:firstLine="640"/>
        <w:rPr>
          <w:rFonts w:hint="default" w:ascii="Times New Roman" w:hAnsi="Times New Roman" w:cs="Times New Roman"/>
          <w:highlight w:val="none"/>
        </w:rPr>
      </w:pPr>
      <w:r>
        <w:rPr>
          <w:rFonts w:hint="eastAsia" w:cs="Times New Roman"/>
          <w:highlight w:val="none"/>
          <w:lang w:eastAsia="zh-CN"/>
        </w:rPr>
        <w:t>（一）</w:t>
      </w:r>
      <w:r>
        <w:rPr>
          <w:rFonts w:hint="default" w:ascii="Times New Roman" w:hAnsi="Times New Roman" w:cs="Times New Roman"/>
          <w:highlight w:val="none"/>
        </w:rPr>
        <w:t>本项目从开展至提交最终成果，</w:t>
      </w:r>
      <w:r>
        <w:rPr>
          <w:rFonts w:hint="eastAsia" w:cs="Times New Roman"/>
          <w:highlight w:val="none"/>
          <w:lang w:eastAsia="zh-CN"/>
        </w:rPr>
        <w:t>对服务商</w:t>
      </w:r>
      <w:r>
        <w:rPr>
          <w:rFonts w:hint="default" w:ascii="Times New Roman" w:hAnsi="Times New Roman" w:cs="Times New Roman"/>
          <w:highlight w:val="none"/>
        </w:rPr>
        <w:t>工作进度</w:t>
      </w:r>
      <w:r>
        <w:rPr>
          <w:rFonts w:hint="eastAsia" w:cs="Times New Roman"/>
          <w:highlight w:val="none"/>
          <w:lang w:eastAsia="zh-CN"/>
        </w:rPr>
        <w:t>要求</w:t>
      </w:r>
      <w:r>
        <w:rPr>
          <w:rFonts w:hint="default" w:ascii="Times New Roman" w:hAnsi="Times New Roman" w:cs="Times New Roman"/>
          <w:highlight w:val="none"/>
        </w:rPr>
        <w:t>如下：</w:t>
      </w:r>
    </w:p>
    <w:p>
      <w:pPr>
        <w:pStyle w:val="16"/>
        <w:numPr>
          <w:ilvl w:val="0"/>
          <w:numId w:val="0"/>
        </w:numPr>
        <w:ind w:firstLine="640" w:firstLineChars="200"/>
        <w:rPr>
          <w:rFonts w:hint="eastAsia"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eastAsia"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在</w:t>
      </w:r>
      <w:r>
        <w:rPr>
          <w:rFonts w:hint="eastAsia" w:cs="Times New Roman"/>
          <w:kern w:val="2"/>
          <w:sz w:val="32"/>
          <w:szCs w:val="32"/>
          <w:highlight w:val="none"/>
          <w:lang w:val="en-US" w:eastAsia="zh-CN" w:bidi="ar-SA"/>
        </w:rPr>
        <w:t>签订</w:t>
      </w:r>
      <w:r>
        <w:rPr>
          <w:rFonts w:hint="eastAsia" w:ascii="Times New Roman" w:hAnsi="Times New Roman" w:eastAsia="仿宋_GB2312" w:cs="Times New Roman"/>
          <w:kern w:val="2"/>
          <w:sz w:val="32"/>
          <w:szCs w:val="32"/>
          <w:highlight w:val="none"/>
          <w:lang w:val="en-US" w:eastAsia="zh-CN" w:bidi="ar-SA"/>
        </w:rPr>
        <w:t>合同后1个月内</w:t>
      </w:r>
      <w:r>
        <w:rPr>
          <w:rFonts w:hint="eastAsia" w:cs="Times New Roman"/>
          <w:kern w:val="2"/>
          <w:sz w:val="32"/>
          <w:szCs w:val="32"/>
          <w:highlight w:val="none"/>
          <w:lang w:val="en-US" w:eastAsia="zh-CN" w:bidi="ar-SA"/>
        </w:rPr>
        <w:t>，根据采购人要求，选取2个片区和30个路口作为研究对象，开展基础资料收集及调研等前期工作，形成初步工作思路，向采购人进行开题报告汇报。</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w:t>
      </w:r>
      <w:r>
        <w:rPr>
          <w:rFonts w:hint="default" w:ascii="Times New Roman" w:hAnsi="Times New Roman" w:cs="Times New Roman"/>
          <w:kern w:val="2"/>
          <w:sz w:val="32"/>
          <w:szCs w:val="32"/>
          <w:highlight w:val="none"/>
          <w:lang w:val="en-US" w:eastAsia="zh-CN" w:bidi="ar-SA"/>
        </w:rPr>
        <w:t>在</w:t>
      </w:r>
      <w:r>
        <w:rPr>
          <w:rFonts w:hint="eastAsia" w:cs="Times New Roman"/>
          <w:kern w:val="2"/>
          <w:sz w:val="32"/>
          <w:szCs w:val="32"/>
          <w:highlight w:val="none"/>
          <w:lang w:val="en-US" w:eastAsia="zh-CN" w:bidi="ar-SA"/>
        </w:rPr>
        <w:t>签订</w:t>
      </w:r>
      <w:bookmarkStart w:id="0" w:name="_GoBack"/>
      <w:bookmarkEnd w:id="0"/>
      <w:r>
        <w:rPr>
          <w:rFonts w:hint="default" w:ascii="Times New Roman" w:hAnsi="Times New Roman" w:cs="Times New Roman"/>
          <w:kern w:val="2"/>
          <w:sz w:val="32"/>
          <w:szCs w:val="32"/>
          <w:highlight w:val="none"/>
          <w:lang w:val="en-US" w:eastAsia="zh-CN" w:bidi="ar-SA"/>
        </w:rPr>
        <w:t>合同后3个月内</w:t>
      </w:r>
      <w:r>
        <w:rPr>
          <w:rFonts w:hint="eastAsia" w:ascii="Times New Roman" w:hAnsi="Times New Roman" w:cs="Times New Roman"/>
          <w:kern w:val="2"/>
          <w:sz w:val="32"/>
          <w:szCs w:val="32"/>
          <w:highlight w:val="none"/>
          <w:lang w:val="en-US" w:eastAsia="zh-CN" w:bidi="ar-SA"/>
        </w:rPr>
        <w:t>，提交初步成果，中标服务商须根据采购人修改意见认真总结、修改、补充、完善初步成果。</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3、在确认初步成果后2个月内，提交中期成果，征求各相关部门的意见，并</w:t>
      </w:r>
      <w:r>
        <w:rPr>
          <w:rFonts w:hint="eastAsia" w:cs="Times New Roman"/>
          <w:kern w:val="2"/>
          <w:sz w:val="32"/>
          <w:szCs w:val="32"/>
          <w:highlight w:val="none"/>
          <w:lang w:val="en-US" w:eastAsia="zh-CN" w:bidi="ar-SA"/>
        </w:rPr>
        <w:t>根据</w:t>
      </w:r>
      <w:r>
        <w:rPr>
          <w:rFonts w:hint="eastAsia" w:ascii="Times New Roman" w:hAnsi="Times New Roman" w:cs="Times New Roman"/>
          <w:kern w:val="2"/>
          <w:sz w:val="32"/>
          <w:szCs w:val="32"/>
          <w:highlight w:val="none"/>
          <w:lang w:val="en-US" w:eastAsia="zh-CN" w:bidi="ar-SA"/>
        </w:rPr>
        <w:t>意见对治理方案成果进行补充、修改和完善。</w:t>
      </w:r>
    </w:p>
    <w:p>
      <w:pPr>
        <w:pStyle w:val="16"/>
        <w:numPr>
          <w:ilvl w:val="0"/>
          <w:numId w:val="0"/>
        </w:numPr>
        <w:ind w:firstLine="640" w:firstLineChars="200"/>
        <w:rPr>
          <w:rFonts w:hint="eastAsia"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4、确认中期成果后2个月内，提交评审版</w:t>
      </w:r>
      <w:r>
        <w:rPr>
          <w:rFonts w:hint="eastAsia" w:cs="Times New Roman"/>
          <w:kern w:val="2"/>
          <w:sz w:val="32"/>
          <w:szCs w:val="32"/>
          <w:highlight w:val="none"/>
          <w:lang w:val="en-US" w:eastAsia="zh-CN" w:bidi="ar-SA"/>
        </w:rPr>
        <w:t>治理方案</w:t>
      </w:r>
      <w:r>
        <w:rPr>
          <w:rFonts w:hint="eastAsia" w:ascii="Times New Roman" w:hAnsi="Times New Roman" w:cs="Times New Roman"/>
          <w:kern w:val="2"/>
          <w:sz w:val="32"/>
          <w:szCs w:val="32"/>
          <w:highlight w:val="none"/>
          <w:lang w:val="en-US" w:eastAsia="zh-CN" w:bidi="ar-SA"/>
        </w:rPr>
        <w:t>成果，开展专家评审，协助采购人开展并通过项目技术审查，并根据审查意见进行修改完善</w:t>
      </w:r>
      <w:r>
        <w:rPr>
          <w:rFonts w:hint="eastAsia" w:cs="Times New Roman"/>
          <w:kern w:val="2"/>
          <w:sz w:val="32"/>
          <w:szCs w:val="32"/>
          <w:highlight w:val="none"/>
          <w:lang w:val="en-US" w:eastAsia="zh-CN" w:bidi="ar-SA"/>
        </w:rPr>
        <w:t>。</w:t>
      </w:r>
    </w:p>
    <w:p>
      <w:pPr>
        <w:pStyle w:val="16"/>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eastAsia" w:cs="Times New Roman"/>
          <w:kern w:val="2"/>
          <w:sz w:val="32"/>
          <w:szCs w:val="32"/>
          <w:highlight w:val="none"/>
          <w:lang w:val="en-US" w:eastAsia="zh-CN" w:bidi="ar-SA"/>
        </w:rPr>
        <w:t>5、2027年年底前按合同要求提交终期成果并经</w:t>
      </w:r>
      <w:r>
        <w:rPr>
          <w:rFonts w:hint="eastAsia" w:ascii="Times New Roman" w:hAnsi="Times New Roman" w:cs="Times New Roman"/>
          <w:kern w:val="2"/>
          <w:sz w:val="32"/>
          <w:szCs w:val="32"/>
          <w:highlight w:val="none"/>
          <w:lang w:val="en-US" w:eastAsia="zh-CN" w:bidi="ar-SA"/>
        </w:rPr>
        <w:t>采购人审查验收</w:t>
      </w:r>
      <w:r>
        <w:rPr>
          <w:rFonts w:hint="eastAsia" w:cs="Times New Roman"/>
          <w:kern w:val="2"/>
          <w:sz w:val="32"/>
          <w:szCs w:val="32"/>
          <w:highlight w:val="none"/>
          <w:lang w:val="en-US" w:eastAsia="zh-CN" w:bidi="ar-SA"/>
        </w:rPr>
        <w:t>。</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（二）成果提交要求如下：</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1、成果的内容必须符合本项目招标文件的有关要求和国家有关标准规范，满足交通拥堵治理及治理效果评估工作需要。</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成果应包括（但不限于）提供各阶段所必需的成果、方案介绍等汇报资料和存档等资料，还应提交拥堵治理相关分析图集、评估报告附图附表。包括但不限于：东莞市交通拥堵治理及治理效果评估总报告及重点专题研究（2个重点片区拥堵治理专题研究、30个重点路口拥堵治理专题研究、拥堵成因诊断分析报告、交通改善实施建议、治理效果监测与评估报告等）。充分表达项目编制内容，并能达到预期项目目标，投标人须根据本项目内容和要求，在投标响应文件中相应简述相关成果的全部内容（或大纲）。</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3、主要成果版本包括纸质文档（含图纸）和相对应的电子版文件，中标服务商须按采购人提出的内容和要求完成最终成果的编制，并提交相应的最终成果10份（包括纸质文件8套、电子光盘2套）。</w:t>
      </w:r>
    </w:p>
    <w:p>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4、最终成果内容必须清晰完整，说明书应准确、完整地阐述其项目意图和内容，项目所包含的相关图纸内容必须全面、准确。中标服务商应按上报所需的要求向采购人提供相应的文本及资料。</w:t>
      </w:r>
    </w:p>
    <w:p>
      <w:pPr>
        <w:pStyle w:val="16"/>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5、电子版要求：全部最终成果均应制作成电子版，文本文件采用.doc、.txt格式，图形文件采用.shp、.dwg、.jpg、.pdf、.ppt格式，并以光盘（无密码、无病毒和无删减）形式提供。具体文件格式以采购人需求为准，中标服务商须无条件配合。</w:t>
      </w:r>
    </w:p>
    <w:p>
      <w:pPr>
        <w:pStyle w:val="16"/>
        <w:ind w:firstLine="640"/>
        <w:rPr>
          <w:rFonts w:hint="default" w:ascii="Times New Roman" w:hAnsi="Times New Roman" w:eastAsia="黑体" w:cs="Times New Roman"/>
          <w:bCs/>
        </w:rPr>
      </w:pPr>
      <w:r>
        <w:rPr>
          <w:rFonts w:hint="eastAsia" w:eastAsia="黑体" w:cs="Times New Roman"/>
          <w:bCs/>
          <w:lang w:eastAsia="zh-CN"/>
        </w:rPr>
        <w:t>三</w:t>
      </w:r>
      <w:r>
        <w:rPr>
          <w:rFonts w:hint="default" w:ascii="Times New Roman" w:hAnsi="Times New Roman" w:eastAsia="黑体" w:cs="Times New Roman"/>
          <w:bCs/>
        </w:rPr>
        <w:t>、服务商资质要求</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参照《中华人民共和国政府采购法》第二十二条规定，服务商须符合以下条件：</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（一）具有独立承担民事责任的能力。</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（二）具有依法缴纳税收和社会保障资金的良好记录。</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（三）具有良好的商业信誉和健全的财务会计制度。</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（四）具有履行合同所必需的设备和专业技术能力。</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五）参加采购活动前三年内，在经营活动中没有重大违法记录（服务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520" w:lineRule="exact"/>
        <w:ind w:firstLine="640" w:firstLineChars="200"/>
        <w:rPr>
          <w:rFonts w:hint="default" w:ascii="Times New Roman" w:hAnsi="Times New Roman" w:cs="Times New Roman"/>
        </w:rPr>
      </w:pPr>
      <w:r>
        <w:rPr>
          <w:rFonts w:hint="default" w:ascii="Times New Roman" w:hAnsi="Times New Roman" w:cs="Times New Roman"/>
        </w:rPr>
        <w:t>（六）本项目不接受联合体参与，不能转包。</w:t>
      </w:r>
    </w:p>
    <w:p>
      <w:pPr>
        <w:pStyle w:val="15"/>
        <w:spacing w:line="520" w:lineRule="exact"/>
        <w:ind w:firstLine="640"/>
        <w:rPr>
          <w:rFonts w:hint="default" w:ascii="Times New Roman" w:hAnsi="Times New Roman" w:cs="Times New Roman"/>
        </w:rPr>
      </w:pPr>
      <w:r>
        <w:rPr>
          <w:rFonts w:hint="eastAsia" w:eastAsia="黑体" w:cs="Times New Roman"/>
          <w:bCs/>
          <w:lang w:eastAsia="zh-CN"/>
        </w:rPr>
        <w:t>四</w:t>
      </w:r>
      <w:r>
        <w:rPr>
          <w:rFonts w:hint="default" w:ascii="Times New Roman" w:hAnsi="Times New Roman" w:eastAsia="黑体" w:cs="Times New Roman"/>
          <w:bCs/>
        </w:rPr>
        <w:t>、报价要求</w:t>
      </w:r>
    </w:p>
    <w:p>
      <w:pPr>
        <w:pStyle w:val="15"/>
        <w:spacing w:line="520" w:lineRule="exact"/>
        <w:ind w:firstLine="640"/>
        <w:jc w:val="left"/>
        <w:rPr>
          <w:rFonts w:hint="default" w:ascii="Times New Roman" w:hAnsi="Times New Roman" w:cs="Times New Roman"/>
        </w:rPr>
      </w:pPr>
      <w:r>
        <w:rPr>
          <w:rFonts w:hint="default" w:ascii="Times New Roman" w:hAnsi="Times New Roman" w:cs="Times New Roman"/>
        </w:rPr>
        <w:t>报价最高限价为</w:t>
      </w:r>
      <w:r>
        <w:rPr>
          <w:rFonts w:hint="default" w:ascii="Times New Roman" w:hAnsi="Times New Roman" w:cs="Times New Roman"/>
          <w:lang w:val="en-US" w:eastAsia="zh-CN"/>
        </w:rPr>
        <w:t>不超过</w:t>
      </w:r>
      <w:r>
        <w:rPr>
          <w:rFonts w:hint="eastAsia" w:cs="Times New Roman"/>
          <w:lang w:val="en-US" w:eastAsia="zh-CN"/>
        </w:rPr>
        <w:t>950</w:t>
      </w:r>
      <w:r>
        <w:rPr>
          <w:rFonts w:hint="default" w:ascii="Times New Roman" w:hAnsi="Times New Roman" w:cs="Times New Roman"/>
        </w:rPr>
        <w:t>,</w:t>
      </w:r>
      <w:r>
        <w:rPr>
          <w:rFonts w:hint="eastAsia" w:cs="Times New Roman"/>
          <w:lang w:val="en-US" w:eastAsia="zh-CN"/>
        </w:rPr>
        <w:t>0</w:t>
      </w:r>
      <w:r>
        <w:rPr>
          <w:rFonts w:hint="default" w:ascii="Times New Roman" w:hAnsi="Times New Roman" w:cs="Times New Roman"/>
        </w:rPr>
        <w:t>00.00元</w:t>
      </w:r>
      <w:r>
        <w:rPr>
          <w:rFonts w:hint="default" w:ascii="Times New Roman" w:hAnsi="Times New Roman" w:cs="Times New Roman"/>
          <w:lang w:val="en-US" w:eastAsia="zh-CN"/>
        </w:rPr>
        <w:t>，</w:t>
      </w:r>
      <w:r>
        <w:rPr>
          <w:rFonts w:hint="default" w:ascii="Times New Roman" w:hAnsi="Times New Roman" w:cs="Times New Roman"/>
        </w:rPr>
        <w:t>报价应包含合同实施过程中不可预见费用等。</w:t>
      </w:r>
    </w:p>
    <w:p>
      <w:pPr>
        <w:pStyle w:val="16"/>
        <w:ind w:firstLine="640"/>
        <w:rPr>
          <w:rFonts w:hint="default" w:ascii="Times New Roman" w:hAnsi="Times New Roman" w:eastAsia="黑体" w:cs="Times New Roman"/>
          <w:bCs/>
        </w:rPr>
      </w:pPr>
      <w:r>
        <w:rPr>
          <w:rFonts w:hint="eastAsia" w:eastAsia="黑体" w:cs="Times New Roman"/>
          <w:bCs/>
          <w:lang w:eastAsia="zh-CN"/>
        </w:rPr>
        <w:t>五</w:t>
      </w:r>
      <w:r>
        <w:rPr>
          <w:rFonts w:hint="default" w:ascii="Times New Roman" w:hAnsi="Times New Roman" w:eastAsia="黑体" w:cs="Times New Roman"/>
          <w:bCs/>
        </w:rPr>
        <w:t>、响应报价说明</w:t>
      </w:r>
    </w:p>
    <w:p>
      <w:pPr>
        <w:pStyle w:val="15"/>
        <w:spacing w:line="520" w:lineRule="exact"/>
        <w:ind w:firstLine="640"/>
        <w:rPr>
          <w:rFonts w:hint="default" w:ascii="Times New Roman" w:hAnsi="Times New Roman" w:cs="Times New Roman"/>
        </w:rPr>
      </w:pPr>
      <w:r>
        <w:rPr>
          <w:rFonts w:hint="default" w:ascii="Times New Roman" w:hAnsi="Times New Roman" w:cs="Times New Roman"/>
        </w:rPr>
        <w:t>响应资料必须加盖公章后密封，并在封面上注明投件单位、联系人及联系电话，在封口处加贴封条和加盖公章，未作密封盖章处理或逾期送达的文件将视为无效。报价材料包括：</w:t>
      </w:r>
    </w:p>
    <w:p>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《营业执照》复印件、法人代表身份证复印件（正、反面）；</w:t>
      </w:r>
    </w:p>
    <w:p>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报价表（见附件1）；</w:t>
      </w:r>
    </w:p>
    <w:p>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资格条件承诺函（见附件2）；</w:t>
      </w:r>
    </w:p>
    <w:p>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服务商信用查询（查询渠道：“信用中国”（www.creditchina.gov.cn）</w:t>
      </w:r>
      <w:r>
        <w:rPr>
          <w:rFonts w:hint="default" w:ascii="Times New Roman" w:hAnsi="Times New Roman" w:cs="Times New Roman"/>
          <w:lang w:eastAsia="zh-CN"/>
        </w:rPr>
        <w:t>、</w:t>
      </w:r>
      <w:r>
        <w:rPr>
          <w:rFonts w:hint="default" w:ascii="Times New Roman" w:hAnsi="Times New Roman" w:cs="Times New Roman"/>
        </w:rPr>
        <w:t>“中国政府采购网”（http://www.ccgp.gov.cn/）网页截图，查询时间截点：采购公告发布之日至响应文件提交截止时间前。）</w:t>
      </w:r>
    </w:p>
    <w:p>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法定代表人授权书（模板见附件3，无授权代表可不提供）；</w:t>
      </w:r>
    </w:p>
    <w:p>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根据本《项目需求书》要求编制并提供相应的资料（建议列索引表）。</w:t>
      </w:r>
    </w:p>
    <w:p>
      <w:pPr>
        <w:pStyle w:val="16"/>
        <w:ind w:firstLine="640"/>
        <w:rPr>
          <w:rFonts w:hint="default" w:ascii="Times New Roman" w:hAnsi="Times New Roman" w:eastAsia="黑体" w:cs="Times New Roman"/>
          <w:bCs/>
          <w:highlight w:val="none"/>
        </w:rPr>
      </w:pPr>
      <w:r>
        <w:rPr>
          <w:rFonts w:hint="eastAsia" w:eastAsia="黑体" w:cs="Times New Roman"/>
          <w:bCs/>
          <w:highlight w:val="none"/>
          <w:lang w:eastAsia="zh-CN"/>
        </w:rPr>
        <w:t>六</w:t>
      </w:r>
      <w:r>
        <w:rPr>
          <w:rFonts w:hint="default" w:ascii="Times New Roman" w:hAnsi="Times New Roman" w:eastAsia="黑体" w:cs="Times New Roman"/>
          <w:bCs/>
          <w:highlight w:val="none"/>
        </w:rPr>
        <w:t>、支付方式</w:t>
      </w:r>
    </w:p>
    <w:p>
      <w:pPr>
        <w:pStyle w:val="15"/>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（一）技术服务费由甲方分期支付乙方。</w:t>
      </w:r>
    </w:p>
    <w:p>
      <w:pPr>
        <w:pStyle w:val="15"/>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（二）具体支付方式和时间如下：</w:t>
      </w:r>
    </w:p>
    <w:p>
      <w:pPr>
        <w:pStyle w:val="15"/>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付款方式分</w:t>
      </w:r>
      <w:r>
        <w:rPr>
          <w:rFonts w:hint="eastAsia" w:cs="Times New Roman"/>
          <w:highlight w:val="none"/>
          <w:lang w:eastAsia="zh-CN"/>
        </w:rPr>
        <w:t>三</w:t>
      </w:r>
      <w:r>
        <w:rPr>
          <w:rFonts w:hint="default" w:ascii="Times New Roman" w:hAnsi="Times New Roman" w:cs="Times New Roman"/>
          <w:highlight w:val="none"/>
        </w:rPr>
        <w:t>个阶段支付：</w:t>
      </w:r>
    </w:p>
    <w:p>
      <w:pPr>
        <w:pStyle w:val="17"/>
        <w:numPr>
          <w:ilvl w:val="255"/>
          <w:numId w:val="0"/>
        </w:numPr>
        <w:spacing w:before="0" w:after="0" w:line="560" w:lineRule="exact"/>
        <w:ind w:firstLine="640"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第一阶段：甲乙双方签订合同后，甲方于乙方发起请款并开具等额合法有效增值税专用发票后的</w:t>
      </w:r>
      <w:r>
        <w:rPr>
          <w:rFonts w:hint="default" w:ascii="Times New Roman" w:hAnsi="Times New Roman" w:eastAsia="仿宋_GB2312" w:cs="Times New Roman"/>
          <w:kern w:val="2"/>
          <w:sz w:val="32"/>
          <w:szCs w:val="24"/>
          <w:lang w:val="en-US" w:eastAsia="zh-CN" w:bidi="ar-SA"/>
        </w:rPr>
        <w:t>10个工作日内，</w:t>
      </w:r>
      <w:r>
        <w:rPr>
          <w:rFonts w:hint="eastAsia" w:ascii="Times New Roman" w:hAnsi="Times New Roman" w:eastAsia="仿宋_GB2312" w:cs="Times New Roman"/>
          <w:kern w:val="2"/>
          <w:sz w:val="32"/>
          <w:szCs w:val="24"/>
          <w:lang w:val="en-US" w:eastAsia="zh-CN" w:bidi="ar-SA"/>
        </w:rPr>
        <w:t>支付合同总金额的30%</w:t>
      </w:r>
      <w:r>
        <w:rPr>
          <w:rFonts w:hint="default" w:ascii="Times New Roman" w:hAnsi="Times New Roman" w:eastAsia="仿宋_GB2312" w:cs="Times New Roman"/>
          <w:kern w:val="2"/>
          <w:sz w:val="32"/>
          <w:szCs w:val="24"/>
          <w:lang w:val="en-US" w:eastAsia="zh-CN" w:bidi="ar-SA"/>
        </w:rPr>
        <w:t>；</w:t>
      </w:r>
    </w:p>
    <w:p>
      <w:pPr>
        <w:pStyle w:val="17"/>
        <w:numPr>
          <w:ilvl w:val="255"/>
          <w:numId w:val="0"/>
        </w:numPr>
        <w:spacing w:before="0" w:after="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第二阶段：乙方完成拥堵治理方案编制并经专家评审后，</w:t>
      </w:r>
      <w:r>
        <w:rPr>
          <w:rFonts w:hint="default" w:ascii="Times New Roman" w:hAnsi="Times New Roman" w:eastAsia="仿宋_GB2312" w:cs="Times New Roman"/>
          <w:kern w:val="2"/>
          <w:sz w:val="32"/>
          <w:szCs w:val="24"/>
          <w:lang w:val="en-US" w:eastAsia="zh-CN" w:bidi="ar-SA"/>
        </w:rPr>
        <w:t>甲方于乙方发起请款并开具</w:t>
      </w:r>
      <w:r>
        <w:rPr>
          <w:rFonts w:hint="eastAsia" w:ascii="Times New Roman" w:hAnsi="Times New Roman" w:eastAsia="仿宋_GB2312" w:cs="Times New Roman"/>
          <w:kern w:val="2"/>
          <w:sz w:val="32"/>
          <w:szCs w:val="24"/>
          <w:lang w:val="en-US" w:eastAsia="zh-CN" w:bidi="ar-SA"/>
        </w:rPr>
        <w:t>等额合法有效增值税专用发票后的</w:t>
      </w:r>
      <w:r>
        <w:rPr>
          <w:rFonts w:hint="default" w:ascii="Times New Roman" w:hAnsi="Times New Roman" w:eastAsia="仿宋_GB2312" w:cs="Times New Roman"/>
          <w:kern w:val="2"/>
          <w:sz w:val="32"/>
          <w:szCs w:val="24"/>
          <w:lang w:val="en-US" w:eastAsia="zh-CN" w:bidi="ar-SA"/>
        </w:rPr>
        <w:t>10个工作日内，支付合同总金额的</w:t>
      </w:r>
      <w:r>
        <w:rPr>
          <w:rFonts w:hint="eastAsia" w:ascii="Times New Roman" w:hAnsi="Times New Roman" w:eastAsia="仿宋_GB2312" w:cs="Times New Roman"/>
          <w:kern w:val="2"/>
          <w:sz w:val="32"/>
          <w:szCs w:val="24"/>
          <w:lang w:val="en-US" w:eastAsia="zh-CN" w:bidi="ar-SA"/>
        </w:rPr>
        <w:t>50</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w:t>
      </w:r>
    </w:p>
    <w:p>
      <w:pPr>
        <w:pStyle w:val="17"/>
        <w:numPr>
          <w:ilvl w:val="255"/>
          <w:numId w:val="0"/>
        </w:numPr>
        <w:spacing w:before="0" w:after="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第三阶段：乙方完成终期成果并经甲方验收合格后，甲方于乙方发起请款并开具等额合法有效增值税专用发票后的10个工作日内，支付合同总金额的20%。</w:t>
      </w:r>
    </w:p>
    <w:p>
      <w:pPr>
        <w:pStyle w:val="15"/>
        <w:spacing w:line="240" w:lineRule="auto"/>
        <w:ind w:left="640" w:leftChars="200" w:firstLine="0" w:firstLineChars="0"/>
        <w:rPr>
          <w:rFonts w:hint="default" w:ascii="Times New Roman" w:hAnsi="Times New Roman" w:cs="Times New Roman"/>
        </w:rPr>
      </w:pPr>
      <w:r>
        <w:rPr>
          <w:rFonts w:hint="default" w:ascii="Times New Roman" w:hAnsi="Times New Roman" w:cs="Times New Roman"/>
        </w:rPr>
        <w:t>（三）采购人和中标人双方采用对公转账的支付方式进行结算。</w:t>
      </w:r>
    </w:p>
    <w:p>
      <w:pPr>
        <w:pStyle w:val="15"/>
        <w:spacing w:line="240" w:lineRule="auto"/>
        <w:ind w:firstLine="640"/>
        <w:rPr>
          <w:rFonts w:hint="default" w:ascii="Times New Roman" w:hAnsi="Times New Roman" w:cs="Times New Roman"/>
        </w:rPr>
      </w:pPr>
      <w:r>
        <w:rPr>
          <w:rFonts w:hint="default" w:ascii="Times New Roman" w:hAnsi="Times New Roman" w:cs="Times New Roman"/>
        </w:rPr>
        <w:t>（四）采购人付款前中标人应当开具相应合法的发票，否则采购人有权拒绝付款且不承担任何责任。采购人在收到中标人正式发票后十个工作日内向中标人支付对应金额。</w:t>
      </w:r>
    </w:p>
    <w:p>
      <w:pPr>
        <w:pStyle w:val="15"/>
        <w:spacing w:line="240" w:lineRule="auto"/>
        <w:ind w:firstLine="640"/>
        <w:rPr>
          <w:rFonts w:hint="eastAsia" w:ascii="Times New Roman" w:hAnsi="Times New Roman" w:eastAsia="仿宋_GB2312" w:cs="Times New Roman"/>
          <w:lang w:eastAsia="zh-CN"/>
        </w:rPr>
      </w:pPr>
      <w:r>
        <w:rPr>
          <w:rFonts w:hint="eastAsia" w:cs="Times New Roman"/>
          <w:lang w:eastAsia="zh-CN"/>
        </w:rPr>
        <w:t>（五）本条款仅供参考，最终以甲方提供的样本并经甲乙双方协商一致的合同为准。</w:t>
      </w:r>
    </w:p>
    <w:p>
      <w:pPr>
        <w:pStyle w:val="15"/>
        <w:spacing w:line="240" w:lineRule="auto"/>
        <w:ind w:firstLine="0" w:firstLineChars="0"/>
        <w:jc w:val="center"/>
        <w:rPr>
          <w:rFonts w:hint="default" w:ascii="Times New Roman" w:hAnsi="Times New Roman" w:cs="Times New Roman"/>
        </w:rPr>
      </w:pPr>
    </w:p>
    <w:p>
      <w:pPr>
        <w:jc w:val="center"/>
        <w:rPr>
          <w:rFonts w:hint="default" w:ascii="Times New Roman" w:hAnsi="Times New Roman" w:eastAsia="黑体" w:cs="Times New Roman"/>
        </w:rPr>
      </w:pPr>
      <w:r>
        <w:rPr>
          <w:rFonts w:hint="default" w:ascii="Times New Roman" w:hAnsi="Times New Roman" w:eastAsia="黑体" w:cs="Times New Roman"/>
        </w:rPr>
        <w:t>第三部分 评</w:t>
      </w:r>
      <w:r>
        <w:rPr>
          <w:rFonts w:hint="default" w:ascii="Times New Roman" w:hAnsi="Times New Roman" w:eastAsia="黑体" w:cs="Times New Roman"/>
          <w:lang w:eastAsia="zh-CN"/>
        </w:rPr>
        <w:t>审</w:t>
      </w:r>
      <w:r>
        <w:rPr>
          <w:rFonts w:hint="default" w:ascii="Times New Roman" w:hAnsi="Times New Roman" w:eastAsia="黑体" w:cs="Times New Roman"/>
        </w:rPr>
        <w:t>标准</w:t>
      </w:r>
    </w:p>
    <w:p>
      <w:pPr>
        <w:ind w:firstLine="640" w:firstLineChars="200"/>
        <w:rPr>
          <w:rFonts w:hint="default" w:ascii="Times New Roman" w:hAnsi="Times New Roman" w:cs="Times New Roman"/>
        </w:rPr>
      </w:pPr>
      <w:r>
        <w:rPr>
          <w:rFonts w:hint="default" w:ascii="Times New Roman" w:hAnsi="Times New Roman" w:cs="Times New Roman"/>
        </w:rPr>
        <w:t>根据评审原则，所有响应文件的评分按商务部分、技术部分和报价部分三个部分分别打分的方式进行。</w:t>
      </w:r>
    </w:p>
    <w:tbl>
      <w:tblPr>
        <w:tblStyle w:val="18"/>
        <w:tblW w:w="5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2499"/>
        <w:gridCol w:w="6581"/>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328" w:type="pct"/>
            <w:vAlign w:val="center"/>
          </w:tcPr>
          <w:p>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评审因素</w:t>
            </w:r>
          </w:p>
        </w:tc>
        <w:tc>
          <w:tcPr>
            <w:tcW w:w="4305" w:type="pct"/>
            <w:gridSpan w:val="2"/>
            <w:tcBorders>
              <w:right w:val="single" w:color="auto" w:sz="4" w:space="0"/>
            </w:tcBorders>
            <w:vAlign w:val="center"/>
          </w:tcPr>
          <w:p>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评审标准</w:t>
            </w:r>
          </w:p>
        </w:tc>
        <w:tc>
          <w:tcPr>
            <w:tcW w:w="366" w:type="pct"/>
            <w:vMerge w:val="restart"/>
            <w:tcBorders>
              <w:top w:val="single" w:color="auto" w:sz="4" w:space="0"/>
              <w:left w:val="single" w:color="auto" w:sz="4" w:space="0"/>
              <w:right w:val="single" w:color="auto" w:sz="4" w:space="0"/>
            </w:tcBorders>
            <w:vAlign w:val="center"/>
          </w:tcPr>
          <w:p>
            <w:pPr>
              <w:tabs>
                <w:tab w:val="left" w:pos="573"/>
              </w:tabs>
              <w:autoSpaceDE w:val="0"/>
              <w:autoSpaceDN w:val="0"/>
              <w:jc w:val="center"/>
              <w:rPr>
                <w:rFonts w:hint="default" w:ascii="Times New Roman" w:hAnsi="Times New Roman" w:eastAsia="宋体" w:cs="Times New Roman"/>
                <w:b/>
                <w:bCs/>
                <w:color w:val="FF0000"/>
                <w:sz w:val="24"/>
                <w:szCs w:val="24"/>
                <w:lang w:eastAsia="en-US"/>
              </w:rPr>
            </w:pPr>
            <w:r>
              <w:rPr>
                <w:rFonts w:hint="default" w:ascii="Times New Roman" w:hAnsi="Times New Roman" w:eastAsia="宋体" w:cs="Times New Roman"/>
                <w:b w:val="0"/>
                <w:bCs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328" w:type="pct"/>
            <w:vAlign w:val="center"/>
          </w:tcPr>
          <w:p>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分值构成</w:t>
            </w:r>
          </w:p>
        </w:tc>
        <w:tc>
          <w:tcPr>
            <w:tcW w:w="4305" w:type="pct"/>
            <w:gridSpan w:val="2"/>
            <w:tcBorders>
              <w:right w:val="single" w:color="auto" w:sz="4" w:space="0"/>
            </w:tcBorders>
            <w:vAlign w:val="center"/>
          </w:tcPr>
          <w:p>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技术部分42.0分</w:t>
            </w:r>
          </w:p>
          <w:p>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商务部分38.0分</w:t>
            </w:r>
          </w:p>
          <w:p>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报价得分20.0分</w:t>
            </w:r>
          </w:p>
        </w:tc>
        <w:tc>
          <w:tcPr>
            <w:tcW w:w="366" w:type="pct"/>
            <w:vMerge w:val="continue"/>
            <w:tcBorders>
              <w:left w:val="single" w:color="auto" w:sz="4" w:space="0"/>
              <w:bottom w:val="single" w:color="auto" w:sz="4" w:space="0"/>
              <w:right w:val="single" w:color="auto" w:sz="4" w:space="0"/>
            </w:tcBorders>
            <w:vAlign w:val="center"/>
          </w:tcPr>
          <w:p>
            <w:pPr>
              <w:autoSpaceDE w:val="0"/>
              <w:autoSpaceDN w:val="0"/>
              <w:jc w:val="center"/>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328" w:type="pct"/>
            <w:vMerge w:val="restart"/>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技术部分</w:t>
            </w:r>
          </w:p>
        </w:tc>
        <w:tc>
          <w:tcPr>
            <w:tcW w:w="1185" w:type="pct"/>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对项目所在地交通拥堵问题的诊断与分析能力 (12.0分)，（等次分值选择：0.0;5.0;8.0;12.0）</w:t>
            </w:r>
          </w:p>
        </w:tc>
        <w:tc>
          <w:tcPr>
            <w:tcW w:w="3120" w:type="pct"/>
            <w:vAlign w:val="center"/>
          </w:tcPr>
          <w:p>
            <w:pPr>
              <w:autoSpaceDE w:val="0"/>
              <w:autoSpaceDN w:val="0"/>
              <w:jc w:val="both"/>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考察</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商对项目所在地城市发展与交通发展关系的理解、对交通拥堵现状的精准识别、对拥堵成因的深入分析以及对未来趋势的科学预判：优：</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东莞市城市发展与交通发展的关系有非常深刻的认识，能精准识别主要拥堵区域、关键廊道及节点的运行特征，能运用多源数据深入剖析拥堵核心成因，对城市交通发展趋势有科学的预判，为治理工作提供扎实的基础，得12分；良：</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商对东莞市城市交通拥堵问题有较全面的认识，能识别主要拥堵点或路段，有基本的数据分析支撑，对交通发展趋势有一定判断，得8分；中：</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商对交通拥堵问题的认识较为有限，分析停留在表面，数据支撑不足，成因分析不够深入，得5分</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差：未提供相关内容或分析内容与本次拥堵治理研究工作严重偏离，不得分。</w:t>
            </w:r>
          </w:p>
        </w:tc>
        <w:tc>
          <w:tcPr>
            <w:tcW w:w="366" w:type="pct"/>
            <w:tcBorders>
              <w:top w:val="single" w:color="auto" w:sz="4" w:space="0"/>
            </w:tcBorders>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0" w:hRule="atLeast"/>
          <w:jc w:val="center"/>
        </w:trPr>
        <w:tc>
          <w:tcPr>
            <w:tcW w:w="328" w:type="pct"/>
            <w:vMerge w:val="continue"/>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shd w:val="clear" w:color="auto" w:fill="auto"/>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对本项目用户需求书理解程度 (12.0分)，（等次分值选择：0.0; 5.0; 8.0; 12.0）</w:t>
            </w:r>
          </w:p>
        </w:tc>
        <w:tc>
          <w:tcPr>
            <w:tcW w:w="3120" w:type="pct"/>
            <w:shd w:val="clear" w:color="auto" w:fill="auto"/>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考察</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商对用户需求书中的任务重点、技术难点的把握程度，以及所提出的治理对策的创新性、系统性和可行性，并对治理效果有科学的评估思路：优：</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商能准确提炼重点任务与关键技术难点，针对每个难点提出创新、系统、可行的解决方案，方案充分结合东莞市实际，实施路径清晰，可操作性强，对治理后的效果有科学的预评估方法，得12分；良：</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商能把握用户需求书的主要重点难点，提出的解决方案合理可行，对治理效果有基本的考虑，得8分；中：</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商对重点难点的理解不够深入，解决方案较为笼统，缺乏针对性，得5分；差：未提供相关内容或方案与用户需求书严重偏离，不得分。</w:t>
            </w:r>
          </w:p>
        </w:tc>
        <w:tc>
          <w:tcPr>
            <w:tcW w:w="366" w:type="pct"/>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328" w:type="pct"/>
            <w:vMerge w:val="continue"/>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shd w:val="clear" w:color="auto" w:fill="auto"/>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项目计划和工作安排(10.0分)，（等次分值选择：0.0;4.0;8.0; 10.0）</w:t>
            </w:r>
          </w:p>
        </w:tc>
        <w:tc>
          <w:tcPr>
            <w:tcW w:w="3120" w:type="pct"/>
            <w:shd w:val="clear" w:color="auto" w:fill="auto"/>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根据</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商对项目时间、人员安排的合理性和服务质量进行评审</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优：时间、人员安排具体、合理、可行，有完善的保障工作质量的措施和风险应对方案，得10分</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良：时间、人员安排较为具体、合理、可行，有较为完善的保障工作质量的措施和风险应对方案，得8分；中：时间、人员安排可行性一般，保障工作质量的措施和风险应对方案可行性一般，得4分</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差：未提供对应方案不得分。</w:t>
            </w:r>
          </w:p>
        </w:tc>
        <w:tc>
          <w:tcPr>
            <w:tcW w:w="366" w:type="pct"/>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328" w:type="pct"/>
            <w:vMerge w:val="continue"/>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shd w:val="clear" w:color="auto" w:fill="auto"/>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项目负责人与拟投入本项目参与人员资历 (8.0分)</w:t>
            </w:r>
          </w:p>
        </w:tc>
        <w:tc>
          <w:tcPr>
            <w:tcW w:w="3120" w:type="pct"/>
            <w:shd w:val="clear" w:color="auto" w:fill="auto"/>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1）投入本项目项目负责人（1人）：同时具有高级工程师职称和注册咨询工程师资格得3分；（2）投入本项目项目其他人员（除项目负责人）：具有注册城市规划师或注册工程咨询师资格证的，每个得1分，最高5分。(须提供以上人员的有效证书复印件。）</w:t>
            </w:r>
          </w:p>
        </w:tc>
        <w:tc>
          <w:tcPr>
            <w:tcW w:w="366" w:type="pct"/>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328" w:type="pct"/>
            <w:vMerge w:val="restart"/>
            <w:vAlign w:val="center"/>
          </w:tcPr>
          <w:p>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商务部分</w:t>
            </w:r>
          </w:p>
        </w:tc>
        <w:tc>
          <w:tcPr>
            <w:tcW w:w="1185"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认证体系</w:t>
            </w:r>
            <w:r>
              <w:rPr>
                <w:rFonts w:hint="default" w:ascii="Times New Roman" w:hAnsi="Times New Roman" w:cs="Times New Roman" w:eastAsiaTheme="minorEastAsia"/>
                <w:kern w:val="2"/>
                <w:sz w:val="24"/>
                <w:szCs w:val="24"/>
                <w:highlight w:val="none"/>
                <w:lang w:val="en-US" w:eastAsia="zh-CN" w:bidi="ar-SA"/>
              </w:rPr>
              <w:t xml:space="preserve"> (3.0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，（等次分值选择：</w:t>
            </w:r>
            <w:r>
              <w:rPr>
                <w:rFonts w:hint="default" w:ascii="Times New Roman" w:hAnsi="Times New Roman" w:cs="Times New Roman" w:eastAsiaTheme="minorEastAsia"/>
                <w:kern w:val="2"/>
                <w:sz w:val="24"/>
                <w:szCs w:val="24"/>
                <w:highlight w:val="none"/>
                <w:lang w:val="en-US" w:eastAsia="zh-CN" w:bidi="ar-SA"/>
              </w:rPr>
              <w:t>0.0; 1.0; 2.0; 3.0</w:t>
            </w:r>
            <w:r>
              <w:rPr>
                <w:rFonts w:hint="eastAsia" w:ascii="Times New Roman" w:hAnsi="Times New Roman" w:cs="Times New Roman" w:eastAsiaTheme="minorEastAsia"/>
                <w:kern w:val="2"/>
                <w:sz w:val="24"/>
                <w:szCs w:val="24"/>
                <w:highlight w:val="none"/>
                <w:lang w:val="en-US" w:eastAsia="zh-CN" w:bidi="ar-SA"/>
              </w:rPr>
              <w:t>）</w:t>
            </w:r>
          </w:p>
        </w:tc>
        <w:tc>
          <w:tcPr>
            <w:tcW w:w="3120"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商具有由国家认证认可监督管理部门批准设立的认证机构颁发并在有效期内的质量管理体系认证证书、环境管理体系认证证书、职业健康管理体系认证证书的，每提供一项证书得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分，最高得</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分。（须提供证书复印件并加盖</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商公章。）</w:t>
            </w:r>
          </w:p>
        </w:tc>
        <w:tc>
          <w:tcPr>
            <w:tcW w:w="366" w:type="pct"/>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0" w:hRule="atLeast"/>
          <w:jc w:val="center"/>
        </w:trPr>
        <w:tc>
          <w:tcPr>
            <w:tcW w:w="328" w:type="pct"/>
            <w:vMerge w:val="continue"/>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vAlign w:val="center"/>
          </w:tcPr>
          <w:p>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获奖情况</w:t>
            </w:r>
            <w:r>
              <w:rPr>
                <w:rFonts w:hint="default" w:ascii="Times New Roman" w:hAnsi="Times New Roman" w:cs="Times New Roman" w:eastAsiaTheme="minorEastAsia"/>
                <w:kern w:val="2"/>
                <w:sz w:val="24"/>
                <w:szCs w:val="24"/>
                <w:highlight w:val="none"/>
                <w:lang w:val="en-US" w:eastAsia="zh-CN" w:bidi="ar-SA"/>
              </w:rPr>
              <w:t xml:space="preserve"> (10.0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p>
        </w:tc>
        <w:tc>
          <w:tcPr>
            <w:tcW w:w="3120"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商自</w:t>
            </w:r>
            <w:r>
              <w:rPr>
                <w:rFonts w:hint="default" w:ascii="Times New Roman" w:hAnsi="Times New Roman" w:cs="Times New Roman" w:eastAsiaTheme="minorEastAsia"/>
                <w:kern w:val="2"/>
                <w:sz w:val="24"/>
                <w:szCs w:val="24"/>
                <w:highlight w:val="none"/>
                <w:lang w:val="en-US" w:eastAsia="zh-CN" w:bidi="ar-SA"/>
              </w:rPr>
              <w:t>201</w:t>
            </w:r>
            <w:r>
              <w:rPr>
                <w:rFonts w:hint="eastAsia" w:cs="Times New Roman" w:eastAsiaTheme="minorEastAsia"/>
                <w:kern w:val="2"/>
                <w:sz w:val="24"/>
                <w:szCs w:val="24"/>
                <w:highlight w:val="none"/>
                <w:lang w:val="en-US" w:eastAsia="zh-CN" w:bidi="ar-SA"/>
              </w:rPr>
              <w:t>6</w:t>
            </w:r>
            <w:r>
              <w:rPr>
                <w:rFonts w:hint="eastAsia" w:ascii="Times New Roman" w:hAnsi="Times New Roman" w:cs="Times New Roman" w:eastAsiaTheme="minorEastAsia"/>
                <w:kern w:val="2"/>
                <w:sz w:val="24"/>
                <w:szCs w:val="24"/>
                <w:highlight w:val="none"/>
                <w:lang w:val="en-US" w:eastAsia="zh-CN" w:bidi="ar-SA"/>
              </w:rPr>
              <w:t>年</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月</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日至今承担的城乡规划或交通规划类项目，获得过省级（或以上）优秀城乡规划设计奖项，一等奖</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或以上）每个得</w:t>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分，二等奖每个得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三等奖</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或以下</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每个得</w:t>
            </w:r>
            <w:r>
              <w:rPr>
                <w:rFonts w:hint="default" w:ascii="Times New Roman" w:hAnsi="Times New Roman" w:cs="Times New Roman" w:eastAsiaTheme="minorEastAsia"/>
                <w:kern w:val="2"/>
                <w:sz w:val="24"/>
                <w:szCs w:val="24"/>
                <w:highlight w:val="none"/>
                <w:lang w:val="en-US" w:eastAsia="zh-CN" w:bidi="ar-SA"/>
              </w:rPr>
              <w:t>0.5</w:t>
            </w:r>
            <w:r>
              <w:rPr>
                <w:rFonts w:hint="eastAsia" w:ascii="Times New Roman" w:hAnsi="Times New Roman" w:cs="Times New Roman" w:eastAsiaTheme="minorEastAsia"/>
                <w:kern w:val="2"/>
                <w:sz w:val="24"/>
                <w:szCs w:val="24"/>
                <w:highlight w:val="none"/>
                <w:lang w:val="en-US" w:eastAsia="zh-CN" w:bidi="ar-SA"/>
              </w:rPr>
              <w:t>分，最高得</w:t>
            </w:r>
            <w:r>
              <w:rPr>
                <w:rFonts w:hint="default" w:ascii="Times New Roman" w:hAnsi="Times New Roman" w:cs="Times New Roman" w:eastAsiaTheme="minorEastAsia"/>
                <w:kern w:val="2"/>
                <w:sz w:val="24"/>
                <w:szCs w:val="24"/>
                <w:highlight w:val="none"/>
                <w:lang w:val="en-US" w:eastAsia="zh-CN" w:bidi="ar-SA"/>
              </w:rPr>
              <w:t>6</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商自</w:t>
            </w:r>
            <w:r>
              <w:rPr>
                <w:rFonts w:hint="default" w:ascii="Times New Roman" w:hAnsi="Times New Roman" w:cs="Times New Roman" w:eastAsiaTheme="minorEastAsia"/>
                <w:kern w:val="2"/>
                <w:sz w:val="24"/>
                <w:szCs w:val="24"/>
                <w:highlight w:val="none"/>
                <w:lang w:val="en-US" w:eastAsia="zh-CN" w:bidi="ar-SA"/>
              </w:rPr>
              <w:t>201</w:t>
            </w:r>
            <w:r>
              <w:rPr>
                <w:rFonts w:hint="eastAsia" w:cs="Times New Roman" w:eastAsiaTheme="minorEastAsia"/>
                <w:kern w:val="2"/>
                <w:sz w:val="24"/>
                <w:szCs w:val="24"/>
                <w:highlight w:val="none"/>
                <w:lang w:val="en-US" w:eastAsia="zh-CN" w:bidi="ar-SA"/>
              </w:rPr>
              <w:t>6</w:t>
            </w:r>
            <w:r>
              <w:rPr>
                <w:rFonts w:hint="eastAsia" w:ascii="Times New Roman" w:hAnsi="Times New Roman" w:cs="Times New Roman" w:eastAsiaTheme="minorEastAsia"/>
                <w:kern w:val="2"/>
                <w:sz w:val="24"/>
                <w:szCs w:val="24"/>
                <w:highlight w:val="none"/>
                <w:lang w:val="en-US" w:eastAsia="zh-CN" w:bidi="ar-SA"/>
              </w:rPr>
              <w:t>年</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月</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日至今承担的交通规划类项目，获得过行业协会颁发一等奖</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或以上）每个得</w:t>
            </w:r>
            <w:r>
              <w:rPr>
                <w:rFonts w:hint="default" w:ascii="Times New Roman" w:hAnsi="Times New Roman" w:cs="Times New Roman" w:eastAsiaTheme="minorEastAsia"/>
                <w:kern w:val="2"/>
                <w:sz w:val="24"/>
                <w:szCs w:val="24"/>
                <w:highlight w:val="none"/>
                <w:lang w:val="en-US" w:eastAsia="zh-CN" w:bidi="ar-SA"/>
              </w:rPr>
              <w:t>1.5</w:t>
            </w:r>
            <w:r>
              <w:rPr>
                <w:rFonts w:hint="eastAsia" w:ascii="Times New Roman" w:hAnsi="Times New Roman" w:cs="Times New Roman" w:eastAsiaTheme="minorEastAsia"/>
                <w:kern w:val="2"/>
                <w:sz w:val="24"/>
                <w:szCs w:val="24"/>
                <w:highlight w:val="none"/>
                <w:lang w:val="en-US" w:eastAsia="zh-CN" w:bidi="ar-SA"/>
              </w:rPr>
              <w:t>分，二等奖每个得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分，三等奖（或以下）每个得</w:t>
            </w:r>
            <w:r>
              <w:rPr>
                <w:rFonts w:hint="default" w:ascii="Times New Roman" w:hAnsi="Times New Roman" w:cs="Times New Roman" w:eastAsiaTheme="minorEastAsia"/>
                <w:kern w:val="2"/>
                <w:sz w:val="24"/>
                <w:szCs w:val="24"/>
                <w:highlight w:val="none"/>
                <w:lang w:val="en-US" w:eastAsia="zh-CN" w:bidi="ar-SA"/>
              </w:rPr>
              <w:t>0.5</w:t>
            </w:r>
            <w:r>
              <w:rPr>
                <w:rFonts w:hint="eastAsia" w:ascii="Times New Roman" w:hAnsi="Times New Roman" w:cs="Times New Roman" w:eastAsiaTheme="minorEastAsia"/>
                <w:kern w:val="2"/>
                <w:sz w:val="24"/>
                <w:szCs w:val="24"/>
                <w:highlight w:val="none"/>
                <w:lang w:val="en-US" w:eastAsia="zh-CN" w:bidi="ar-SA"/>
              </w:rPr>
              <w:t>分，最高得</w:t>
            </w:r>
            <w:r>
              <w:rPr>
                <w:rFonts w:hint="default" w:ascii="Times New Roman" w:hAnsi="Times New Roman" w:cs="Times New Roman" w:eastAsiaTheme="minorEastAsia"/>
                <w:kern w:val="2"/>
                <w:sz w:val="24"/>
                <w:szCs w:val="24"/>
                <w:highlight w:val="none"/>
                <w:lang w:val="en-US" w:eastAsia="zh-CN" w:bidi="ar-SA"/>
              </w:rPr>
              <w:t>4</w:t>
            </w:r>
            <w:r>
              <w:rPr>
                <w:rFonts w:hint="eastAsia" w:ascii="Times New Roman" w:hAnsi="Times New Roman" w:cs="Times New Roman" w:eastAsiaTheme="minorEastAsia"/>
                <w:kern w:val="2"/>
                <w:sz w:val="24"/>
                <w:szCs w:val="24"/>
                <w:highlight w:val="none"/>
                <w:lang w:val="en-US" w:eastAsia="zh-CN" w:bidi="ar-SA"/>
              </w:rPr>
              <w:t>分。（以获奖时间为准，须提供有效的证书复印件加盖公章）</w:t>
            </w:r>
          </w:p>
        </w:tc>
        <w:tc>
          <w:tcPr>
            <w:tcW w:w="366" w:type="pct"/>
            <w:vAlign w:val="center"/>
          </w:tcPr>
          <w:p>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328" w:type="pct"/>
            <w:vMerge w:val="continue"/>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vAlign w:val="center"/>
          </w:tcPr>
          <w:p>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同类业绩</w:t>
            </w:r>
            <w:r>
              <w:rPr>
                <w:rFonts w:hint="default" w:ascii="Times New Roman" w:hAnsi="Times New Roman" w:cs="Times New Roman" w:eastAsiaTheme="minorEastAsia"/>
                <w:kern w:val="2"/>
                <w:sz w:val="24"/>
                <w:szCs w:val="24"/>
                <w:highlight w:val="none"/>
                <w:lang w:val="en-US" w:eastAsia="zh-CN" w:bidi="ar-SA"/>
              </w:rPr>
              <w:t xml:space="preserve"> (20.0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p>
        </w:tc>
        <w:tc>
          <w:tcPr>
            <w:tcW w:w="3120"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近五年（以合同签订时间为准），</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商承担有城市交通拥堵治理类、治理效果评估类、交通规划类或年度咨询报告类项目业绩：</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、编制过城市交通拥堵治理策略、片区交通拥堵综合治理方案、交通组织优化设计等直接相关的规划或研究类项目的，每个得2分，最高得8分。</w:t>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、编制过城市交通拥堵治理效果评估、交通运行评价、交通整治后评估等报告类项目的，每个得2分，最高得6分。</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、编制过市级或片区级</w:t>
            </w:r>
            <w:r>
              <w:rPr>
                <w:rFonts w:hint="eastAsia" w:cs="Times New Roman" w:eastAsiaTheme="minorEastAsia"/>
                <w:kern w:val="2"/>
                <w:sz w:val="24"/>
                <w:szCs w:val="24"/>
                <w:highlight w:val="none"/>
                <w:lang w:val="en-US" w:eastAsia="zh-CN" w:bidi="ar-SA"/>
              </w:rPr>
              <w:t>及以上</w:t>
            </w:r>
            <w:r>
              <w:rPr>
                <w:rFonts w:hint="eastAsia" w:ascii="Times New Roman" w:hAnsi="Times New Roman" w:cs="Times New Roman" w:eastAsiaTheme="minorEastAsia"/>
                <w:kern w:val="2"/>
                <w:sz w:val="24"/>
                <w:szCs w:val="24"/>
                <w:highlight w:val="none"/>
                <w:lang w:val="en-US" w:eastAsia="zh-CN" w:bidi="ar-SA"/>
              </w:rPr>
              <w:t>城市综合交通规划、交通专项规划（含交通拥堵治理相关内容）或重要通道、节点的交通详细设计项目的，每个得1分，最高得3分。</w:t>
            </w:r>
            <w:r>
              <w:rPr>
                <w:rFonts w:hint="default" w:ascii="Times New Roman" w:hAnsi="Times New Roman" w:cs="Times New Roman" w:eastAsiaTheme="minorEastAsia"/>
                <w:kern w:val="2"/>
                <w:sz w:val="24"/>
                <w:szCs w:val="24"/>
                <w:highlight w:val="none"/>
                <w:lang w:val="en-US" w:eastAsia="zh-CN" w:bidi="ar-SA"/>
              </w:rPr>
              <w:t>4</w:t>
            </w:r>
            <w:r>
              <w:rPr>
                <w:rFonts w:hint="eastAsia" w:ascii="Times New Roman" w:hAnsi="Times New Roman" w:cs="Times New Roman" w:eastAsiaTheme="minorEastAsia"/>
                <w:kern w:val="2"/>
                <w:sz w:val="24"/>
                <w:szCs w:val="24"/>
                <w:highlight w:val="none"/>
                <w:lang w:val="en-US" w:eastAsia="zh-CN" w:bidi="ar-SA"/>
              </w:rPr>
              <w:t>、编制过城市交通发展年度咨询、交通运行年报、交通拥堵指数分析报告等服务类项目的，每个得1分，最高得3分。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须提供合同复印件加盖公章，合同须为与采购单位直接签订，分包、转包等合同不予计分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计算时间以合同签订时间为准。</w:t>
            </w:r>
            <w:r>
              <w:rPr>
                <w:rFonts w:hint="default" w:ascii="Times New Roman" w:hAnsi="Times New Roman" w:cs="Times New Roman" w:eastAsiaTheme="minorEastAsia"/>
                <w:kern w:val="2"/>
                <w:sz w:val="24"/>
                <w:szCs w:val="24"/>
                <w:highlight w:val="none"/>
                <w:lang w:val="en-US" w:eastAsia="zh-CN" w:bidi="ar-SA"/>
              </w:rPr>
              <w:t>)</w:t>
            </w:r>
          </w:p>
        </w:tc>
        <w:tc>
          <w:tcPr>
            <w:tcW w:w="366" w:type="pct"/>
            <w:vAlign w:val="center"/>
          </w:tcPr>
          <w:p>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8" w:type="pct"/>
            <w:vMerge w:val="continue"/>
            <w:vAlign w:val="center"/>
          </w:tcPr>
          <w:p>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服务响应</w:t>
            </w:r>
            <w:r>
              <w:rPr>
                <w:rFonts w:hint="default" w:ascii="Times New Roman" w:hAnsi="Times New Roman" w:cs="Times New Roman" w:eastAsiaTheme="minorEastAsia"/>
                <w:kern w:val="2"/>
                <w:sz w:val="24"/>
                <w:szCs w:val="24"/>
                <w:highlight w:val="none"/>
                <w:lang w:val="en-US" w:eastAsia="zh-CN" w:bidi="ar-SA"/>
              </w:rPr>
              <w:t xml:space="preserve"> (5.0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，（等次分值选择：</w:t>
            </w:r>
            <w:r>
              <w:rPr>
                <w:rFonts w:hint="default" w:ascii="Times New Roman" w:hAnsi="Times New Roman" w:cs="Times New Roman" w:eastAsiaTheme="minorEastAsia"/>
                <w:kern w:val="2"/>
                <w:sz w:val="24"/>
                <w:szCs w:val="24"/>
                <w:highlight w:val="none"/>
                <w:lang w:val="en-US" w:eastAsia="zh-CN" w:bidi="ar-SA"/>
              </w:rPr>
              <w:t>0.0; 1.0; 3.0; 5.0</w:t>
            </w:r>
            <w:r>
              <w:rPr>
                <w:rFonts w:hint="eastAsia" w:ascii="Times New Roman" w:hAnsi="Times New Roman" w:cs="Times New Roman" w:eastAsiaTheme="minorEastAsia"/>
                <w:kern w:val="2"/>
                <w:sz w:val="24"/>
                <w:szCs w:val="24"/>
                <w:highlight w:val="none"/>
                <w:lang w:val="en-US" w:eastAsia="zh-CN" w:bidi="ar-SA"/>
              </w:rPr>
              <w:t>）</w:t>
            </w:r>
          </w:p>
        </w:tc>
        <w:tc>
          <w:tcPr>
            <w:tcW w:w="3120"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小时（含）内到现场响应，得</w:t>
            </w:r>
            <w:r>
              <w:rPr>
                <w:rFonts w:hint="default" w:ascii="Times New Roman" w:hAnsi="Times New Roman" w:cs="Times New Roman" w:eastAsiaTheme="minorEastAsia"/>
                <w:kern w:val="2"/>
                <w:sz w:val="24"/>
                <w:szCs w:val="24"/>
                <w:highlight w:val="none"/>
                <w:lang w:val="en-US" w:eastAsia="zh-CN" w:bidi="ar-SA"/>
              </w:rPr>
              <w:t>5</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br w:type="textWrapping"/>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1—2</w:t>
            </w:r>
            <w:r>
              <w:rPr>
                <w:rFonts w:hint="eastAsia" w:ascii="Times New Roman" w:hAnsi="Times New Roman" w:cs="Times New Roman" w:eastAsiaTheme="minorEastAsia"/>
                <w:kern w:val="2"/>
                <w:sz w:val="24"/>
                <w:szCs w:val="24"/>
                <w:highlight w:val="none"/>
                <w:lang w:val="en-US" w:eastAsia="zh-CN" w:bidi="ar-SA"/>
              </w:rPr>
              <w:t>小时（含）到现场响应，得</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br w:type="textWrapping"/>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2—3</w:t>
            </w:r>
            <w:r>
              <w:rPr>
                <w:rFonts w:hint="eastAsia" w:ascii="Times New Roman" w:hAnsi="Times New Roman" w:cs="Times New Roman" w:eastAsiaTheme="minorEastAsia"/>
                <w:kern w:val="2"/>
                <w:sz w:val="24"/>
                <w:szCs w:val="24"/>
                <w:highlight w:val="none"/>
                <w:lang w:val="en-US" w:eastAsia="zh-CN" w:bidi="ar-SA"/>
              </w:rPr>
              <w:t>小时（含）到现场响应，得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br w:type="textWrapping"/>
            </w:r>
            <w:r>
              <w:rPr>
                <w:rFonts w:hint="default" w:ascii="Times New Roman" w:hAnsi="Times New Roman" w:cs="Times New Roman" w:eastAsiaTheme="minorEastAsia"/>
                <w:kern w:val="2"/>
                <w:sz w:val="24"/>
                <w:szCs w:val="24"/>
                <w:highlight w:val="none"/>
                <w:lang w:val="en-US" w:eastAsia="zh-CN" w:bidi="ar-SA"/>
              </w:rPr>
              <w:t>4</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小时以上到现场响应，得</w:t>
            </w:r>
            <w:r>
              <w:rPr>
                <w:rFonts w:hint="default" w:ascii="Times New Roman" w:hAnsi="Times New Roman" w:cs="Times New Roman" w:eastAsiaTheme="minorEastAsia"/>
                <w:kern w:val="2"/>
                <w:sz w:val="24"/>
                <w:szCs w:val="24"/>
                <w:highlight w:val="none"/>
                <w:lang w:val="en-US" w:eastAsia="zh-CN" w:bidi="ar-SA"/>
              </w:rPr>
              <w:t>0</w:t>
            </w:r>
            <w:r>
              <w:rPr>
                <w:rFonts w:hint="eastAsia" w:ascii="Times New Roman" w:hAnsi="Times New Roman" w:cs="Times New Roman" w:eastAsiaTheme="minorEastAsia"/>
                <w:kern w:val="2"/>
                <w:sz w:val="24"/>
                <w:szCs w:val="24"/>
                <w:highlight w:val="none"/>
                <w:lang w:val="en-US" w:eastAsia="zh-CN" w:bidi="ar-SA"/>
              </w:rPr>
              <w:t>分。（须提供服务承诺书，并加盖</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商公章，未提供服务承诺书，本项不得分。）</w:t>
            </w:r>
          </w:p>
        </w:tc>
        <w:tc>
          <w:tcPr>
            <w:tcW w:w="366" w:type="pct"/>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jc w:val="center"/>
        </w:trPr>
        <w:tc>
          <w:tcPr>
            <w:tcW w:w="328" w:type="pct"/>
            <w:vAlign w:val="center"/>
          </w:tcPr>
          <w:p>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投标报价</w:t>
            </w:r>
          </w:p>
        </w:tc>
        <w:tc>
          <w:tcPr>
            <w:tcW w:w="1185" w:type="pct"/>
            <w:vAlign w:val="center"/>
          </w:tcPr>
          <w:p>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投标报价得分</w:t>
            </w:r>
            <w:r>
              <w:rPr>
                <w:rFonts w:hint="default" w:ascii="Times New Roman" w:hAnsi="Times New Roman" w:cs="Times New Roman" w:eastAsiaTheme="minorEastAsia"/>
                <w:kern w:val="2"/>
                <w:sz w:val="24"/>
                <w:szCs w:val="24"/>
                <w:highlight w:val="none"/>
                <w:lang w:val="en-US" w:eastAsia="zh-CN" w:bidi="ar-SA"/>
              </w:rPr>
              <w:t xml:space="preserve"> (20.0</w:t>
            </w:r>
            <w:r>
              <w:rPr>
                <w:rFonts w:hint="eastAsia" w:ascii="Times New Roman" w:hAnsi="Times New Roman" w:cs="Times New Roman" w:eastAsiaTheme="minorEastAsia"/>
                <w:kern w:val="2"/>
                <w:sz w:val="24"/>
                <w:szCs w:val="24"/>
                <w:highlight w:val="none"/>
                <w:lang w:val="en-US" w:eastAsia="zh-CN" w:bidi="ar-SA"/>
              </w:rPr>
              <w:t>分）</w:t>
            </w:r>
          </w:p>
        </w:tc>
        <w:tc>
          <w:tcPr>
            <w:tcW w:w="3120" w:type="pct"/>
            <w:vAlign w:val="center"/>
          </w:tcPr>
          <w:p>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投标报价得分</w:t>
            </w:r>
            <w:r>
              <w:rPr>
                <w:rFonts w:hint="eastAsia"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（评标基准价</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投标报价）</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价格分值【注：满足招标文件要求且投标价格最低的投标报价为评标基准价。】最低报价不是中标的唯一依据。因落实政府采购政策进行价格调整的，以调整后的价格计算评标基准价和投标报价。</w:t>
            </w:r>
          </w:p>
        </w:tc>
        <w:tc>
          <w:tcPr>
            <w:tcW w:w="366" w:type="pct"/>
            <w:vAlign w:val="center"/>
          </w:tcPr>
          <w:p>
            <w:pPr>
              <w:autoSpaceDE w:val="0"/>
              <w:autoSpaceDN w:val="0"/>
              <w:jc w:val="left"/>
              <w:rPr>
                <w:rFonts w:hint="default" w:ascii="Times New Roman" w:hAnsi="Times New Roman" w:eastAsia="宋体" w:cs="Times New Roman"/>
                <w:b/>
                <w:bCs/>
                <w:color w:val="FF0000"/>
                <w:sz w:val="24"/>
                <w:szCs w:val="24"/>
                <w:lang w:eastAsia="en-US"/>
              </w:rPr>
            </w:pPr>
          </w:p>
        </w:tc>
      </w:tr>
    </w:tbl>
    <w:p>
      <w:pPr>
        <w:ind w:firstLine="640" w:firstLineChars="200"/>
        <w:rPr>
          <w:rFonts w:hint="default" w:ascii="Times New Roman" w:hAnsi="Times New Roman" w:cs="Times New Roman"/>
        </w:rPr>
      </w:pPr>
      <w:r>
        <w:rPr>
          <w:rFonts w:hint="default" w:ascii="Times New Roman" w:hAnsi="Times New Roman" w:cs="Times New Roman"/>
        </w:rPr>
        <w:t>评</w:t>
      </w:r>
      <w:r>
        <w:rPr>
          <w:rFonts w:hint="default" w:ascii="Times New Roman" w:hAnsi="Times New Roman" w:cs="Times New Roman"/>
          <w:lang w:eastAsia="zh-CN"/>
        </w:rPr>
        <w:t>审</w:t>
      </w:r>
      <w:r>
        <w:rPr>
          <w:rFonts w:hint="default" w:ascii="Times New Roman" w:hAnsi="Times New Roman" w:cs="Times New Roman"/>
        </w:rPr>
        <w:t>总得分（100分）=技术部分（</w:t>
      </w:r>
      <w:r>
        <w:rPr>
          <w:rFonts w:hint="eastAsia" w:cs="Times New Roman"/>
          <w:lang w:val="en-US" w:eastAsia="zh-CN"/>
        </w:rPr>
        <w:t>42</w:t>
      </w:r>
      <w:r>
        <w:rPr>
          <w:rFonts w:hint="default" w:ascii="Times New Roman" w:hAnsi="Times New Roman" w:cs="Times New Roman"/>
        </w:rPr>
        <w:t>分）+商务部分（3</w:t>
      </w:r>
      <w:r>
        <w:rPr>
          <w:rFonts w:hint="eastAsia" w:cs="Times New Roman"/>
          <w:lang w:val="en-US" w:eastAsia="zh-CN"/>
        </w:rPr>
        <w:t>8</w:t>
      </w:r>
      <w:r>
        <w:rPr>
          <w:rFonts w:hint="default" w:ascii="Times New Roman" w:hAnsi="Times New Roman" w:cs="Times New Roman"/>
        </w:rPr>
        <w:t>分）+报价部分（</w:t>
      </w:r>
      <w:r>
        <w:rPr>
          <w:rFonts w:hint="eastAsia" w:cs="Times New Roman"/>
          <w:lang w:val="en-US" w:eastAsia="zh-CN"/>
        </w:rPr>
        <w:t>2</w:t>
      </w:r>
      <w:r>
        <w:rPr>
          <w:rFonts w:hint="default" w:ascii="Times New Roman" w:hAnsi="Times New Roman" w:cs="Times New Roman"/>
        </w:rPr>
        <w:t>0分）。</w:t>
      </w:r>
    </w:p>
    <w:p>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br w:type="page"/>
      </w:r>
    </w:p>
    <w:p>
      <w:pPr>
        <w:spacing w:line="360" w:lineRule="auto"/>
        <w:rPr>
          <w:rFonts w:hint="default" w:ascii="Times New Roman" w:hAnsi="Times New Roman" w:eastAsia="方正小标宋简体" w:cs="Times New Roman"/>
          <w:bCs/>
          <w:color w:val="000000"/>
          <w:sz w:val="44"/>
          <w:szCs w:val="44"/>
          <w:lang w:val="zh-CN"/>
        </w:rPr>
      </w:pPr>
      <w:r>
        <w:rPr>
          <w:rFonts w:hint="default" w:ascii="Times New Roman" w:hAnsi="Times New Roman" w:cs="Times New Roman"/>
          <w:color w:val="000000"/>
          <w:sz w:val="28"/>
          <w:szCs w:val="28"/>
        </w:rPr>
        <w:t>附件1</w:t>
      </w:r>
    </w:p>
    <w:p>
      <w:pPr>
        <w:spacing w:line="360" w:lineRule="auto"/>
        <w:jc w:val="center"/>
        <w:rPr>
          <w:rFonts w:hint="default" w:ascii="Times New Roman" w:hAnsi="Times New Roman" w:eastAsia="方正小标宋简体" w:cs="Times New Roman"/>
          <w:bCs/>
          <w:color w:val="000000"/>
          <w:sz w:val="44"/>
          <w:szCs w:val="44"/>
          <w:lang w:val="zh-CN"/>
        </w:rPr>
      </w:pPr>
      <w:r>
        <w:rPr>
          <w:rFonts w:hint="default" w:ascii="Times New Roman" w:hAnsi="Times New Roman" w:eastAsia="方正小标宋简体" w:cs="Times New Roman"/>
          <w:bCs/>
          <w:color w:val="000000"/>
          <w:sz w:val="44"/>
          <w:szCs w:val="44"/>
          <w:lang w:val="zh-CN"/>
        </w:rPr>
        <w:t>报价表</w:t>
      </w:r>
    </w:p>
    <w:p>
      <w:pPr>
        <w:keepNext/>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w:t>
      </w:r>
    </w:p>
    <w:tbl>
      <w:tblPr>
        <w:tblStyle w:val="12"/>
        <w:tblW w:w="9272" w:type="dxa"/>
        <w:tblInd w:w="128" w:type="dxa"/>
        <w:tblLayout w:type="fixed"/>
        <w:tblCellMar>
          <w:top w:w="0" w:type="dxa"/>
          <w:left w:w="108" w:type="dxa"/>
          <w:bottom w:w="0" w:type="dxa"/>
          <w:right w:w="108" w:type="dxa"/>
        </w:tblCellMar>
      </w:tblPr>
      <w:tblGrid>
        <w:gridCol w:w="1681"/>
        <w:gridCol w:w="7591"/>
      </w:tblGrid>
      <w:tr>
        <w:tblPrEx>
          <w:tblCellMar>
            <w:top w:w="0" w:type="dxa"/>
            <w:left w:w="108" w:type="dxa"/>
            <w:bottom w:w="0" w:type="dxa"/>
            <w:right w:w="108" w:type="dxa"/>
          </w:tblCellMar>
        </w:tblPrEx>
        <w:trPr>
          <w:trHeight w:val="1304" w:hRule="atLeast"/>
        </w:trPr>
        <w:tc>
          <w:tcPr>
            <w:tcW w:w="168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项目名称</w:t>
            </w:r>
          </w:p>
        </w:tc>
        <w:tc>
          <w:tcPr>
            <w:tcW w:w="7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eastAsia="仿宋_GB2312" w:cs="Times New Roman"/>
                <w:szCs w:val="21"/>
                <w:lang w:eastAsia="zh-CN"/>
              </w:rPr>
            </w:pPr>
            <w:r>
              <w:rPr>
                <w:rFonts w:hint="eastAsia" w:ascii="Times New Roman" w:hAnsi="Times New Roman" w:cs="Times New Roman"/>
                <w:color w:val="000000"/>
                <w:sz w:val="28"/>
                <w:szCs w:val="28"/>
              </w:rPr>
              <w:t>2026年东莞市交通拥堵治理及治理效果评估</w:t>
            </w:r>
          </w:p>
        </w:tc>
      </w:tr>
      <w:tr>
        <w:tblPrEx>
          <w:tblCellMar>
            <w:top w:w="0" w:type="dxa"/>
            <w:left w:w="108" w:type="dxa"/>
            <w:bottom w:w="0" w:type="dxa"/>
            <w:right w:w="108" w:type="dxa"/>
          </w:tblCellMar>
        </w:tblPrEx>
        <w:trPr>
          <w:trHeight w:val="1304" w:hRule="atLeast"/>
        </w:trPr>
        <w:tc>
          <w:tcPr>
            <w:tcW w:w="168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服务商名称</w:t>
            </w:r>
          </w:p>
        </w:tc>
        <w:tc>
          <w:tcPr>
            <w:tcW w:w="75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701" w:hRule="atLeast"/>
        </w:trPr>
        <w:tc>
          <w:tcPr>
            <w:tcW w:w="1681" w:type="dxa"/>
            <w:tcBorders>
              <w:top w:val="single" w:color="auto" w:sz="4" w:space="0"/>
              <w:left w:val="single" w:color="auto" w:sz="4" w:space="0"/>
              <w:bottom w:val="single" w:color="auto" w:sz="4" w:space="0"/>
              <w:right w:val="single" w:color="auto" w:sz="4" w:space="0"/>
            </w:tcBorders>
            <w:vAlign w:val="center"/>
          </w:tcPr>
          <w:p>
            <w:pPr>
              <w:pStyle w:val="3"/>
              <w:jc w:val="center"/>
              <w:rPr>
                <w:rFonts w:hint="default" w:ascii="Times New Roman" w:hAnsi="Times New Roman" w:cs="Times New Roman"/>
                <w:sz w:val="22"/>
                <w:szCs w:val="22"/>
              </w:rPr>
            </w:pPr>
            <w:r>
              <w:rPr>
                <w:rFonts w:hint="default" w:ascii="Times New Roman" w:hAnsi="Times New Roman" w:cs="Times New Roman"/>
                <w:sz w:val="22"/>
                <w:szCs w:val="22"/>
              </w:rPr>
              <w:t>服务报价</w:t>
            </w:r>
          </w:p>
          <w:p>
            <w:pPr>
              <w:pStyle w:val="3"/>
              <w:jc w:val="center"/>
              <w:rPr>
                <w:rFonts w:hint="default" w:ascii="Times New Roman" w:hAnsi="Times New Roman" w:eastAsia="宋体" w:cs="Times New Roman"/>
              </w:rPr>
            </w:pPr>
            <w:r>
              <w:rPr>
                <w:rFonts w:hint="default" w:ascii="Times New Roman" w:hAnsi="Times New Roman" w:cs="Times New Roman"/>
                <w:sz w:val="22"/>
                <w:szCs w:val="22"/>
              </w:rPr>
              <w:t>（元）</w:t>
            </w:r>
          </w:p>
        </w:tc>
        <w:tc>
          <w:tcPr>
            <w:tcW w:w="759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大写：           </w:t>
            </w:r>
          </w:p>
          <w:p>
            <w:pPr>
              <w:rPr>
                <w:rFonts w:hint="default" w:ascii="Times New Roman" w:hAnsi="Times New Roman" w:cs="Times New Roman"/>
              </w:rPr>
            </w:pPr>
            <w:r>
              <w:rPr>
                <w:rFonts w:hint="default" w:ascii="Times New Roman" w:hAnsi="Times New Roman" w:cs="Times New Roman"/>
                <w:color w:val="000000"/>
                <w:sz w:val="28"/>
                <w:szCs w:val="28"/>
              </w:rPr>
              <w:t xml:space="preserve">小写：           </w:t>
            </w:r>
          </w:p>
          <w:p>
            <w:pPr>
              <w:spacing w:line="360" w:lineRule="auto"/>
              <w:ind w:firstLine="660" w:firstLineChars="300"/>
              <w:jc w:val="left"/>
              <w:rPr>
                <w:rFonts w:hint="default" w:ascii="Times New Roman" w:hAnsi="Times New Roman" w:cs="Times New Roman"/>
                <w:sz w:val="22"/>
                <w:szCs w:val="28"/>
              </w:rPr>
            </w:pPr>
          </w:p>
        </w:tc>
      </w:tr>
      <w:tr>
        <w:tblPrEx>
          <w:tblCellMar>
            <w:top w:w="0" w:type="dxa"/>
            <w:left w:w="108" w:type="dxa"/>
            <w:bottom w:w="0" w:type="dxa"/>
            <w:right w:w="108" w:type="dxa"/>
          </w:tblCellMar>
        </w:tblPrEx>
        <w:trPr>
          <w:trHeight w:val="1304" w:hRule="atLeast"/>
        </w:trPr>
        <w:tc>
          <w:tcPr>
            <w:tcW w:w="168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服务期</w:t>
            </w:r>
          </w:p>
        </w:tc>
        <w:tc>
          <w:tcPr>
            <w:tcW w:w="75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cs="Times New Roman"/>
                <w:szCs w:val="21"/>
              </w:rPr>
            </w:pPr>
            <w:r>
              <w:rPr>
                <w:rFonts w:hint="default" w:ascii="Times New Roman" w:hAnsi="Times New Roman" w:cs="Times New Roman"/>
                <w:color w:val="000000"/>
                <w:sz w:val="28"/>
                <w:szCs w:val="28"/>
                <w:highlight w:val="none"/>
              </w:rPr>
              <w:t>自合同签订之日起</w:t>
            </w:r>
            <w:r>
              <w:rPr>
                <w:rFonts w:hint="eastAsia" w:cs="Times New Roman"/>
                <w:color w:val="000000"/>
                <w:sz w:val="28"/>
                <w:szCs w:val="28"/>
                <w:highlight w:val="none"/>
                <w:lang w:eastAsia="zh-CN"/>
              </w:rPr>
              <w:t>至</w:t>
            </w:r>
            <w:r>
              <w:rPr>
                <w:rFonts w:hint="eastAsia" w:cs="Times New Roman"/>
                <w:color w:val="000000"/>
                <w:sz w:val="28"/>
                <w:szCs w:val="28"/>
                <w:highlight w:val="none"/>
                <w:lang w:val="en-US" w:eastAsia="zh-CN"/>
              </w:rPr>
              <w:t>2027年年底</w:t>
            </w:r>
            <w:r>
              <w:rPr>
                <w:rFonts w:hint="default" w:ascii="Times New Roman" w:hAnsi="Times New Roman" w:cs="Times New Roman"/>
                <w:color w:val="000000"/>
                <w:sz w:val="28"/>
                <w:szCs w:val="28"/>
                <w:highlight w:val="none"/>
              </w:rPr>
              <w:t>。</w:t>
            </w:r>
          </w:p>
        </w:tc>
      </w:tr>
    </w:tbl>
    <w:p>
      <w:p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说明：</w:t>
      </w:r>
    </w:p>
    <w:p>
      <w:pPr>
        <w:numPr>
          <w:ilvl w:val="0"/>
          <w:numId w:val="2"/>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本次采购采用填报项目总价的方式进行报价，填报时保留小数点后两位；</w:t>
      </w:r>
    </w:p>
    <w:p>
      <w:pPr>
        <w:numPr>
          <w:ilvl w:val="0"/>
          <w:numId w:val="2"/>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本报价表是项目需求书确定服务范围内的全部服务内容的价格体现，报价应包含项目投入的各项费用及合同实施过程中不可预见费用等。</w:t>
      </w:r>
    </w:p>
    <w:p>
      <w:pPr>
        <w:numPr>
          <w:ilvl w:val="0"/>
          <w:numId w:val="2"/>
        </w:numPr>
        <w:ind w:firstLine="539" w:firstLineChars="245"/>
        <w:rPr>
          <w:rFonts w:hint="default" w:ascii="Times New Roman" w:hAnsi="Times New Roman" w:cs="Times New Roman"/>
          <w:sz w:val="21"/>
          <w:szCs w:val="21"/>
        </w:rPr>
      </w:pPr>
      <w:r>
        <w:rPr>
          <w:rFonts w:hint="default" w:ascii="Times New Roman" w:hAnsi="Times New Roman" w:cs="Times New Roman"/>
          <w:sz w:val="22"/>
          <w:szCs w:val="22"/>
        </w:rPr>
        <w:t>不提供此表格将被视为没有实质性响应，其响应文件将被拒绝</w:t>
      </w:r>
      <w:r>
        <w:rPr>
          <w:rFonts w:hint="default" w:ascii="Times New Roman" w:hAnsi="Times New Roman" w:cs="Times New Roman"/>
          <w:sz w:val="21"/>
          <w:szCs w:val="21"/>
        </w:rPr>
        <w:t>。</w:t>
      </w:r>
    </w:p>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服务商全称（盖章）：</w:t>
      </w:r>
    </w:p>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服务商代表（签字）：</w:t>
      </w:r>
    </w:p>
    <w:p>
      <w:pPr>
        <w:ind w:firstLine="220" w:firstLineChars="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日    期：</w:t>
      </w:r>
    </w:p>
    <w:p>
      <w:pPr>
        <w:spacing w:line="360" w:lineRule="auto"/>
        <w:ind w:firstLine="560" w:firstLineChars="200"/>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rPr>
        <w:t>附件2</w:t>
      </w:r>
    </w:p>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资格条件承诺函</w:t>
      </w:r>
      <w:r>
        <w:rPr>
          <w:rFonts w:hint="default" w:ascii="Times New Roman" w:hAnsi="Times New Roman" w:cs="Times New Roman"/>
          <w:color w:val="000000"/>
          <w:sz w:val="28"/>
          <w:szCs w:val="28"/>
        </w:rPr>
        <w:t xml:space="preserve"> </w:t>
      </w:r>
    </w:p>
    <w:p>
      <w:pPr>
        <w:widowControl/>
        <w:snapToGrid w:val="0"/>
        <w:spacing w:line="360" w:lineRule="auto"/>
        <w:jc w:val="left"/>
        <w:rPr>
          <w:rFonts w:hint="default" w:ascii="Times New Roman" w:hAnsi="Times New Roman" w:cs="Times New Roman"/>
          <w:color w:val="000000"/>
          <w:kern w:val="0"/>
          <w:sz w:val="22"/>
          <w:szCs w:val="22"/>
        </w:rPr>
      </w:pPr>
    </w:p>
    <w:p>
      <w:pPr>
        <w:widowControl/>
        <w:snapToGrid w:val="0"/>
        <w:spacing w:line="360" w:lineRule="auto"/>
        <w:jc w:val="left"/>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东莞市</w:t>
      </w:r>
      <w:r>
        <w:rPr>
          <w:rFonts w:hint="eastAsia" w:cs="Times New Roman"/>
          <w:color w:val="000000"/>
          <w:kern w:val="0"/>
          <w:sz w:val="22"/>
          <w:szCs w:val="22"/>
          <w:lang w:eastAsia="zh-CN"/>
        </w:rPr>
        <w:t>交通运输局</w:t>
      </w:r>
      <w:r>
        <w:rPr>
          <w:rFonts w:hint="default" w:ascii="Times New Roman" w:hAnsi="Times New Roman" w:cs="Times New Roman"/>
          <w:color w:val="000000"/>
          <w:sz w:val="22"/>
          <w:szCs w:val="22"/>
        </w:rPr>
        <w:t>：</w:t>
      </w:r>
    </w:p>
    <w:p>
      <w:pPr>
        <w:widowControl/>
        <w:spacing w:line="360" w:lineRule="auto"/>
        <w:ind w:firstLine="440" w:firstLineChars="2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我方</w:t>
      </w:r>
      <w:r>
        <w:rPr>
          <w:rFonts w:hint="default" w:ascii="Times New Roman" w:hAnsi="Times New Roman" w:cs="Times New Roman"/>
          <w:color w:val="000000"/>
          <w:sz w:val="22"/>
          <w:szCs w:val="22"/>
          <w:u w:val="single"/>
        </w:rPr>
        <w:t xml:space="preserve">   2026年东莞市交通拥堵治理及治理效果评估   </w:t>
      </w:r>
      <w:r>
        <w:rPr>
          <w:rFonts w:hint="default" w:ascii="Times New Roman" w:hAnsi="Times New Roman" w:cs="Times New Roman"/>
          <w:color w:val="000000"/>
          <w:sz w:val="22"/>
          <w:szCs w:val="22"/>
        </w:rPr>
        <w:t>采购，现郑重承诺，</w:t>
      </w:r>
      <w:r>
        <w:rPr>
          <w:rFonts w:hint="default" w:ascii="Times New Roman" w:hAnsi="Times New Roman" w:cs="Times New Roman"/>
          <w:color w:val="000000"/>
          <w:kern w:val="0"/>
          <w:sz w:val="22"/>
          <w:szCs w:val="22"/>
        </w:rPr>
        <w:t>参加本次政府采购活动前三年内</w:t>
      </w:r>
      <w:r>
        <w:rPr>
          <w:rFonts w:hint="default" w:ascii="Times New Roman" w:hAnsi="Times New Roman" w:cs="Times New Roman"/>
          <w:color w:val="000000"/>
          <w:sz w:val="22"/>
          <w:szCs w:val="22"/>
        </w:rPr>
        <w:t>：</w:t>
      </w:r>
    </w:p>
    <w:p>
      <w:pPr>
        <w:widowControl/>
        <w:spacing w:line="360" w:lineRule="auto"/>
        <w:ind w:firstLine="440" w:firstLineChars="200"/>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1、我方符合《中华人民共和国政府采购法》第22条规定的资格条件，即：</w:t>
      </w:r>
    </w:p>
    <w:p>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（1）我方具有独立承担民事责任的能力；</w:t>
      </w:r>
    </w:p>
    <w:p>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（2）我方具有良好的商业信誉和健全的财务会计制度；</w:t>
      </w:r>
    </w:p>
    <w:p>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（3）我方具有履行合同所必需的设备和专业技术能力；</w:t>
      </w:r>
    </w:p>
    <w:p>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（4）我方有依法缴纳税收和社会保障资金的良好记录；</w:t>
      </w:r>
    </w:p>
    <w:p>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2、到本项目</w:t>
      </w:r>
      <w:r>
        <w:rPr>
          <w:rFonts w:hint="default" w:ascii="Times New Roman" w:hAnsi="Times New Roman" w:cs="Times New Roman"/>
          <w:color w:val="000000"/>
          <w:sz w:val="22"/>
          <w:szCs w:val="22"/>
        </w:rPr>
        <w:t>采购</w:t>
      </w:r>
      <w:r>
        <w:rPr>
          <w:rFonts w:hint="default" w:ascii="Times New Roman" w:hAnsi="Times New Roman" w:cs="Times New Roman"/>
          <w:color w:val="000000"/>
          <w:kern w:val="0"/>
          <w:sz w:val="22"/>
          <w:szCs w:val="22"/>
        </w:rPr>
        <w:t>截止时间为止，我方未被“信用中国（</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color w:val="000000"/>
          <w:kern w:val="0"/>
          <w:sz w:val="22"/>
          <w:szCs w:val="22"/>
        </w:rPr>
        <w:t>www.creditchina.gov.cn）、</w:t>
      </w:r>
      <w:r>
        <w:rPr>
          <w:rFonts w:hint="default" w:ascii="Times New Roman" w:hAnsi="Times New Roman" w:cs="Times New Roman"/>
          <w:color w:val="000000"/>
          <w:kern w:val="0"/>
          <w:sz w:val="22"/>
          <w:szCs w:val="22"/>
        </w:rPr>
        <w:fldChar w:fldCharType="end"/>
      </w:r>
      <w:r>
        <w:rPr>
          <w:rFonts w:hint="default" w:ascii="Times New Roman" w:hAnsi="Times New Roman" w:cs="Times New Roman"/>
          <w:color w:val="000000"/>
          <w:kern w:val="0"/>
          <w:sz w:val="22"/>
          <w:szCs w:val="22"/>
        </w:rPr>
        <w:t>中国政府采购网（www.ccgp.gov.cn）列入失信被执行人名单、重大税收违法案件当事人名单、政府采购严重违法失信行为记录名单。</w:t>
      </w:r>
    </w:p>
    <w:p>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3、我方与参加本次项目同一合同项下政府采购活动的其他服务商不存在单位负责人为同一人或者直接控股、管理关系。</w:t>
      </w:r>
    </w:p>
    <w:p>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4、我方不属于公益一类事业单位。</w:t>
      </w:r>
    </w:p>
    <w:p>
      <w:pPr>
        <w:widowControl/>
        <w:snapToGrid w:val="0"/>
        <w:ind w:firstLine="440" w:firstLineChars="200"/>
        <w:jc w:val="left"/>
        <w:rPr>
          <w:rFonts w:hint="default" w:ascii="Times New Roman" w:hAnsi="Times New Roman" w:cs="Times New Roman"/>
          <w:color w:val="000000"/>
          <w:kern w:val="0"/>
          <w:sz w:val="22"/>
          <w:szCs w:val="22"/>
        </w:rPr>
      </w:pPr>
    </w:p>
    <w:p>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以上承诺如有虚假，</w:t>
      </w:r>
      <w:r>
        <w:rPr>
          <w:rFonts w:hint="default" w:ascii="Times New Roman" w:hAnsi="Times New Roman" w:cs="Times New Roman"/>
          <w:color w:val="000000"/>
          <w:sz w:val="22"/>
          <w:szCs w:val="22"/>
        </w:rPr>
        <w:t>愿接受取消</w:t>
      </w:r>
      <w:r>
        <w:rPr>
          <w:rFonts w:hint="default" w:ascii="Times New Roman" w:hAnsi="Times New Roman" w:cs="Times New Roman"/>
          <w:color w:val="000000"/>
          <w:kern w:val="0"/>
          <w:sz w:val="22"/>
          <w:szCs w:val="22"/>
        </w:rPr>
        <w:t>我方任何资格（投标/成交/签订合同）</w:t>
      </w:r>
      <w:r>
        <w:rPr>
          <w:rFonts w:hint="default" w:ascii="Times New Roman" w:hAnsi="Times New Roman" w:cs="Times New Roman"/>
          <w:color w:val="000000"/>
          <w:sz w:val="22"/>
          <w:szCs w:val="22"/>
        </w:rPr>
        <w:t>及其他任何形式的处理。</w:t>
      </w:r>
    </w:p>
    <w:p>
      <w:pPr>
        <w:widowControl/>
        <w:snapToGrid w:val="0"/>
        <w:ind w:firstLine="440" w:firstLineChars="200"/>
        <w:jc w:val="left"/>
        <w:rPr>
          <w:rFonts w:hint="default" w:ascii="Times New Roman" w:hAnsi="Times New Roman" w:cs="Times New Roman"/>
          <w:color w:val="000000"/>
          <w:kern w:val="0"/>
          <w:sz w:val="22"/>
          <w:szCs w:val="22"/>
        </w:rPr>
      </w:pPr>
    </w:p>
    <w:p>
      <w:pPr>
        <w:snapToGrid w:val="0"/>
        <w:ind w:firstLine="5060" w:firstLineChars="2300"/>
        <w:rPr>
          <w:rFonts w:hint="default" w:ascii="Times New Roman" w:hAnsi="Times New Roman" w:cs="Times New Roman"/>
          <w:color w:val="000000"/>
          <w:kern w:val="0"/>
          <w:sz w:val="22"/>
          <w:szCs w:val="22"/>
          <w:lang w:val="zh-CN"/>
        </w:rPr>
      </w:pPr>
    </w:p>
    <w:p>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sz w:val="22"/>
          <w:szCs w:val="22"/>
        </w:rPr>
        <w:t>服务商全称（盖章）</w:t>
      </w:r>
      <w:r>
        <w:rPr>
          <w:rFonts w:hint="default" w:ascii="Times New Roman" w:hAnsi="Times New Roman" w:cs="Times New Roman"/>
          <w:color w:val="000000"/>
          <w:kern w:val="0"/>
          <w:sz w:val="22"/>
          <w:szCs w:val="22"/>
        </w:rPr>
        <w:t xml:space="preserve"> ：</w:t>
      </w:r>
    </w:p>
    <w:p>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法定代表人或其授权代表（签字或盖章）：</w:t>
      </w:r>
    </w:p>
    <w:p>
      <w:pPr>
        <w:pStyle w:val="5"/>
        <w:ind w:left="720" w:leftChars="213" w:hanging="39" w:hangingChars="18"/>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日期：     年    月   日</w:t>
      </w:r>
    </w:p>
    <w:p>
      <w:pPr>
        <w:spacing w:line="360" w:lineRule="auto"/>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附件3</w:t>
      </w:r>
    </w:p>
    <w:p>
      <w:pPr>
        <w:spacing w:line="36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法定代表人授权书</w:t>
      </w:r>
    </w:p>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东莞市</w:t>
      </w:r>
      <w:r>
        <w:rPr>
          <w:rFonts w:hint="eastAsia" w:cs="Times New Roman"/>
          <w:color w:val="000000"/>
          <w:sz w:val="22"/>
          <w:szCs w:val="22"/>
          <w:lang w:eastAsia="zh-CN"/>
        </w:rPr>
        <w:t>交通运输局</w:t>
      </w:r>
      <w:r>
        <w:rPr>
          <w:rFonts w:hint="default" w:ascii="Times New Roman" w:hAnsi="Times New Roman" w:cs="Times New Roman"/>
          <w:color w:val="000000"/>
          <w:sz w:val="22"/>
          <w:szCs w:val="22"/>
        </w:rPr>
        <w:t>：</w:t>
      </w:r>
    </w:p>
    <w:p>
      <w:pPr>
        <w:ind w:firstLine="550" w:firstLineChars="250"/>
        <w:rPr>
          <w:rFonts w:hint="default" w:ascii="Times New Roman" w:hAnsi="Times New Roman" w:cs="Times New Roman"/>
          <w:color w:val="000000"/>
          <w:sz w:val="22"/>
          <w:szCs w:val="22"/>
        </w:rPr>
      </w:pP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（服务商全称）法定代表人</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授权</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（全权代表姓名）为全权代表，参加贵</w:t>
      </w:r>
      <w:r>
        <w:rPr>
          <w:rFonts w:hint="eastAsia" w:cs="Times New Roman"/>
          <w:color w:val="000000"/>
          <w:sz w:val="22"/>
          <w:szCs w:val="22"/>
          <w:lang w:eastAsia="zh-CN"/>
        </w:rPr>
        <w:t>局</w:t>
      </w:r>
      <w:r>
        <w:rPr>
          <w:rFonts w:hint="default" w:ascii="Times New Roman" w:hAnsi="Times New Roman" w:cs="Times New Roman"/>
          <w:color w:val="000000"/>
          <w:sz w:val="22"/>
          <w:szCs w:val="22"/>
        </w:rPr>
        <w:t>组织的</w:t>
      </w:r>
      <w:r>
        <w:rPr>
          <w:rFonts w:hint="default" w:ascii="Times New Roman" w:hAnsi="Times New Roman" w:cs="Times New Roman"/>
          <w:color w:val="000000"/>
          <w:sz w:val="22"/>
          <w:szCs w:val="22"/>
          <w:u w:val="single"/>
        </w:rPr>
        <w:t xml:space="preserve">  2026年东莞市交通拥堵治理及治理效果评估  </w:t>
      </w:r>
      <w:r>
        <w:rPr>
          <w:rFonts w:hint="default" w:ascii="Times New Roman" w:hAnsi="Times New Roman" w:cs="Times New Roman"/>
          <w:color w:val="000000"/>
          <w:sz w:val="22"/>
          <w:szCs w:val="22"/>
        </w:rPr>
        <w:t xml:space="preserve">采购活动，全权代表我方处理采购活动中的一切事宜。         </w:t>
      </w:r>
    </w:p>
    <w:p>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法定代表人</w:t>
      </w:r>
      <w:r>
        <w:rPr>
          <w:rFonts w:hint="default" w:ascii="Times New Roman" w:hAnsi="Times New Roman" w:cs="Times New Roman"/>
          <w:color w:val="000000"/>
          <w:kern w:val="0"/>
          <w:sz w:val="22"/>
          <w:szCs w:val="22"/>
        </w:rPr>
        <w:t>（签字或盖章）</w:t>
      </w:r>
      <w:r>
        <w:rPr>
          <w:rFonts w:hint="default" w:ascii="Times New Roman" w:hAnsi="Times New Roman" w:cs="Times New Roman"/>
          <w:color w:val="000000"/>
          <w:sz w:val="22"/>
          <w:szCs w:val="22"/>
        </w:rPr>
        <w:t>：</w:t>
      </w:r>
    </w:p>
    <w:p>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服务商全称（公章）：</w:t>
      </w:r>
    </w:p>
    <w:p>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日   期：  </w:t>
      </w:r>
    </w:p>
    <w:p>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w:t>
      </w:r>
    </w:p>
    <w:p>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 xml:space="preserve">授权代表姓名：                               </w:t>
      </w:r>
    </w:p>
    <w:p>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职务：</w:t>
      </w:r>
    </w:p>
    <w:p>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详细通讯地址：</w:t>
      </w:r>
    </w:p>
    <w:p>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电话：</w:t>
      </w:r>
    </w:p>
    <w:p>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传真：</w:t>
      </w:r>
    </w:p>
    <w:p>
      <w:pPr>
        <w:ind w:firstLine="539" w:firstLineChars="245"/>
        <w:rPr>
          <w:rFonts w:hint="default" w:ascii="Times New Roman" w:hAnsi="Times New Roman" w:eastAsia="宋体" w:cs="Times New Roman"/>
          <w:b/>
          <w:bCs/>
          <w:color w:val="000000"/>
          <w:sz w:val="22"/>
          <w:szCs w:val="22"/>
        </w:rPr>
      </w:pPr>
      <w:r>
        <w:rPr>
          <w:rFonts w:hint="default" w:ascii="Times New Roman" w:hAnsi="Times New Roman" w:cs="Times New Roman"/>
          <w:color w:val="000000"/>
          <w:sz w:val="22"/>
          <w:szCs w:val="22"/>
        </w:rPr>
        <w:t>邮政编码：</w:t>
      </w:r>
    </w:p>
    <w:p>
      <w:pPr>
        <w:rPr>
          <w:rFonts w:hint="default" w:ascii="Times New Roman" w:hAnsi="Times New Roman" w:cs="Times New Roman"/>
        </w:rPr>
      </w:pPr>
      <w:r>
        <w:rPr>
          <w:rFonts w:hint="default" w:ascii="Times New Roman" w:hAnsi="Times New Roman" w:cs="Times New Roman"/>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1270</wp:posOffset>
                </wp:positionV>
                <wp:extent cx="5800090" cy="2431415"/>
                <wp:effectExtent l="5080" t="4445" r="5080" b="21590"/>
                <wp:wrapNone/>
                <wp:docPr id="1029" name="矩形 1029"/>
                <wp:cNvGraphicFramePr/>
                <a:graphic xmlns:a="http://schemas.openxmlformats.org/drawingml/2006/main">
                  <a:graphicData uri="http://schemas.microsoft.com/office/word/2010/wordprocessingShape">
                    <wps:wsp>
                      <wps:cNvSpPr/>
                      <wps:spPr>
                        <a:xfrm>
                          <a:off x="0" y="0"/>
                          <a:ext cx="5800090" cy="243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r>
                              <w:rPr>
                                <w:rFonts w:hint="eastAsia" w:ascii="新宋体" w:hAnsi="新宋体" w:eastAsia="新宋体"/>
                                <w:sz w:val="22"/>
                                <w:szCs w:val="22"/>
                              </w:rPr>
                              <w:t>授权代表身份证（正反面）：</w:t>
                            </w:r>
                          </w:p>
                        </w:txbxContent>
                      </wps:txbx>
                      <wps:bodyPr upright="true"/>
                    </wps:wsp>
                  </a:graphicData>
                </a:graphic>
              </wp:anchor>
            </w:drawing>
          </mc:Choice>
          <mc:Fallback>
            <w:pict>
              <v:rect id="_x0000_s1026" o:spid="_x0000_s1026" o:spt="1" style="position:absolute;left:0pt;margin-left:4.45pt;margin-top:0.1pt;height:191.45pt;width:456.7pt;z-index:251659264;mso-width-relative:page;mso-height-relative:page;" fillcolor="#FFFFFF" filled="t" stroked="t" coordsize="21600,21600" o:gfxdata="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rBWZH1AAAAAYBAAAPAAAAAAAAAAEAIAAAADgAAABkcnMv&#10;ZG93bnJldi54bWxQSwECFAAUAAAACACHTuJAPfpGzPEBAADzAwAADgAAAAAAAAABACAAAAA5AQAA&#10;ZHJzL2Uyb0RvYy54bWxQSwUGAAAAAAYABgBZAQAAnAUAAAAA&#10;">
                <v:fill on="t" focussize="0,0"/>
                <v:stroke color="#000000" joinstyle="miter"/>
                <v:imagedata o:title=""/>
                <o:lock v:ext="edit" aspectratio="f"/>
                <v:textbox>
                  <w:txbxContent>
                    <w:p>
                      <w:pPr>
                        <w:jc w:val="left"/>
                      </w:pPr>
                      <w:r>
                        <w:rPr>
                          <w:rFonts w:hint="eastAsia" w:ascii="新宋体" w:hAnsi="新宋体" w:eastAsia="新宋体"/>
                          <w:sz w:val="22"/>
                          <w:szCs w:val="22"/>
                        </w:rPr>
                        <w:t>授权代表身份证（正反面）：</w:t>
                      </w:r>
                    </w:p>
                  </w:txbxContent>
                </v:textbox>
              </v:rect>
            </w:pict>
          </mc:Fallback>
        </mc:AlternateContent>
      </w:r>
      <w:r>
        <w:rPr>
          <w:rFonts w:hint="default" w:ascii="Times New Roman" w:hAnsi="Times New Roman" w:eastAsia="新宋体" w:cs="Times New Roman"/>
          <w:sz w:val="22"/>
          <w:szCs w:val="22"/>
        </w:rPr>
        <w:t xml:space="preserve"> 授权代表身份证（正反面）：</w:t>
      </w:r>
    </w:p>
    <w:p>
      <w:pPr>
        <w:jc w:val="center"/>
        <w:rPr>
          <w:rFonts w:hint="default" w:ascii="Times New Roman" w:hAnsi="Times New Roman" w:cs="Times New Roman"/>
        </w:rPr>
      </w:pPr>
    </w:p>
    <w:p>
      <w:pPr>
        <w:pStyle w:val="15"/>
        <w:ind w:firstLine="0" w:firstLineChars="0"/>
        <w:rPr>
          <w:rFonts w:hint="default" w:ascii="Times New Roman" w:hAnsi="Times New Roman" w:cs="Times New Roman"/>
        </w:rPr>
      </w:pPr>
    </w:p>
    <w:p>
      <w:pPr>
        <w:rPr>
          <w:rFonts w:hint="eastAsia" w:eastAsia="仿宋_GB2312"/>
          <w:lang w:val="en-US" w:eastAsia="zh-CN"/>
        </w:rPr>
      </w:pPr>
    </w:p>
    <w:sectPr>
      <w:footerReference r:id="rId6" w:type="first"/>
      <w:footerReference r:id="rId4" w:type="default"/>
      <w:footerReference r:id="rId5" w:type="even"/>
      <w:pgSz w:w="11906" w:h="16838"/>
      <w:pgMar w:top="1701" w:right="1304" w:bottom="1304" w:left="1304"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汉仪新人文宋简"/>
    <w:panose1 w:val="00000000000000000000"/>
    <w:charset w:val="00"/>
    <w:family w:val="auto"/>
    <w:pitch w:val="default"/>
    <w:sig w:usb0="00000000" w:usb1="00000000" w:usb2="00000000" w:usb3="00000000" w:csb0="00040001" w:csb1="00000000"/>
  </w:font>
  <w:font w:name="等线">
    <w:altName w:val="方正大标宋简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067" w:h="562" w:hRule="exact" w:wrap="around" w:vAnchor="text" w:hAnchor="page" w:x="9465" w:y="209"/>
      <w:jc w:val="center"/>
    </w:pPr>
    <w:r>
      <w:rPr>
        <w:rFonts w:hint="eastAsia"/>
      </w:rPr>
      <w:t>—</w:t>
    </w:r>
    <w:r>
      <w:fldChar w:fldCharType="begin"/>
    </w:r>
    <w:r>
      <w:instrText xml:space="preserve">PAGE  </w:instrText>
    </w:r>
    <w:r>
      <w:fldChar w:fldCharType="separate"/>
    </w:r>
    <w:r>
      <w:t>3</w:t>
    </w:r>
    <w:r>
      <w:fldChar w:fldCharType="end"/>
    </w:r>
    <w:r>
      <w:rPr>
        <w:rFonts w:hint="eastAsia"/>
      </w:rPr>
      <w:t>—</w:t>
    </w: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notBeside" w:vAnchor="page" w:hAnchor="page" w:x="1625" w:y="15422"/>
    </w:pPr>
    <w:r>
      <w:rPr>
        <w:rFonts w:hint="eastAsia"/>
      </w:rPr>
      <w:t>—</w:t>
    </w:r>
    <w:r>
      <w:fldChar w:fldCharType="begin"/>
    </w:r>
    <w:r>
      <w:instrText xml:space="preserve">PAGE  </w:instrText>
    </w:r>
    <w:r>
      <w:fldChar w:fldCharType="separate"/>
    </w:r>
    <w:r>
      <w:t>2</w:t>
    </w:r>
    <w:r>
      <w:fldChar w:fldCharType="end"/>
    </w:r>
    <w:r>
      <w:rPr>
        <w:rFonts w:hint="eastAsia"/>
      </w:rPr>
      <w:t>—</w:t>
    </w:r>
  </w:p>
  <w:p>
    <w:pPr>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snapToGrid w:val="0"/>
        <w:rPr>
          <w:rFonts w:hint="eastAsia" w:eastAsia="仿宋_GB2312"/>
          <w:sz w:val="22"/>
          <w:szCs w:val="44"/>
          <w:lang w:val="en-US" w:eastAsia="zh-CN"/>
        </w:rPr>
      </w:pPr>
      <w:r>
        <w:rPr>
          <w:rStyle w:val="14"/>
        </w:rPr>
        <w:footnoteRef/>
      </w:r>
      <w:r>
        <w:t xml:space="preserve"> </w:t>
      </w:r>
      <w:r>
        <w:rPr>
          <w:rFonts w:hint="eastAsia"/>
          <w:sz w:val="22"/>
          <w:szCs w:val="44"/>
        </w:rPr>
        <w:t>拥堵片区是指由不少于4个</w:t>
      </w:r>
      <w:r>
        <w:rPr>
          <w:rFonts w:hint="eastAsia"/>
          <w:sz w:val="22"/>
          <w:szCs w:val="44"/>
          <w:lang w:eastAsia="zh-CN"/>
        </w:rPr>
        <w:t>信号灯路</w:t>
      </w:r>
      <w:r>
        <w:rPr>
          <w:rFonts w:hint="eastAsia"/>
          <w:sz w:val="22"/>
          <w:szCs w:val="44"/>
        </w:rPr>
        <w:t>口围合而成的</w:t>
      </w:r>
      <w:r>
        <w:rPr>
          <w:rFonts w:hint="eastAsia"/>
          <w:sz w:val="22"/>
          <w:szCs w:val="44"/>
          <w:lang w:eastAsia="zh-CN"/>
        </w:rPr>
        <w:t>中心城区</w:t>
      </w:r>
      <w:r>
        <w:rPr>
          <w:rFonts w:hint="eastAsia"/>
          <w:sz w:val="22"/>
          <w:szCs w:val="44"/>
        </w:rPr>
        <w:t>区域。</w:t>
      </w:r>
    </w:p>
  </w:footnote>
  <w:footnote w:id="1">
    <w:p>
      <w:pPr>
        <w:pStyle w:val="11"/>
        <w:snapToGrid w:val="0"/>
        <w:rPr>
          <w:rFonts w:hint="eastAsia" w:eastAsia="仿宋_GB2312"/>
          <w:sz w:val="22"/>
          <w:szCs w:val="44"/>
          <w:lang w:val="en-US" w:eastAsia="zh-CN"/>
        </w:rPr>
      </w:pPr>
      <w:r>
        <w:rPr>
          <w:rStyle w:val="14"/>
        </w:rPr>
        <w:footnoteRef/>
      </w:r>
      <w:r>
        <w:t xml:space="preserve"> </w:t>
      </w:r>
      <w:r>
        <w:rPr>
          <w:rFonts w:hint="eastAsia"/>
          <w:sz w:val="22"/>
          <w:szCs w:val="44"/>
          <w:lang w:eastAsia="zh-CN"/>
        </w:rPr>
        <w:t>路口是指全市信号灯路口中早晚高峰均拥堵的路口。</w:t>
      </w:r>
    </w:p>
    <w:p>
      <w:pPr>
        <w:pStyle w:val="11"/>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2B266DE4"/>
    <w:multiLevelType w:val="singleLevel"/>
    <w:tmpl w:val="2B266DE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F1D24"/>
    <w:rsid w:val="00DA41C6"/>
    <w:rsid w:val="010F171D"/>
    <w:rsid w:val="025621A2"/>
    <w:rsid w:val="02F67ED8"/>
    <w:rsid w:val="07C141F8"/>
    <w:rsid w:val="0CA72759"/>
    <w:rsid w:val="0CB30616"/>
    <w:rsid w:val="13784D63"/>
    <w:rsid w:val="14E7655D"/>
    <w:rsid w:val="20D608F7"/>
    <w:rsid w:val="224951C9"/>
    <w:rsid w:val="2AAA5337"/>
    <w:rsid w:val="34451753"/>
    <w:rsid w:val="357644CA"/>
    <w:rsid w:val="3888160C"/>
    <w:rsid w:val="3DB825B4"/>
    <w:rsid w:val="40CE06C4"/>
    <w:rsid w:val="424E6DB4"/>
    <w:rsid w:val="480E77C6"/>
    <w:rsid w:val="55CD357A"/>
    <w:rsid w:val="5799559E"/>
    <w:rsid w:val="59B87950"/>
    <w:rsid w:val="5A12402E"/>
    <w:rsid w:val="5A781ECD"/>
    <w:rsid w:val="5C2F1D24"/>
    <w:rsid w:val="6A5B450C"/>
    <w:rsid w:val="6A7F5A1F"/>
    <w:rsid w:val="6EBE70AA"/>
    <w:rsid w:val="758D4034"/>
    <w:rsid w:val="7DB3762C"/>
    <w:rsid w:val="7FDAAA44"/>
    <w:rsid w:val="A35D7FDB"/>
    <w:rsid w:val="B1BBD612"/>
    <w:rsid w:val="D737B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spacing w:after="120"/>
    </w:pPr>
  </w:style>
  <w:style w:type="paragraph" w:styleId="4">
    <w:name w:val="Body Text First Indent"/>
    <w:basedOn w:val="3"/>
    <w:qFormat/>
    <w:uiPriority w:val="99"/>
    <w:pPr>
      <w:ind w:firstLine="420" w:firstLineChars="100"/>
    </w:pPr>
    <w:rPr>
      <w:rFonts w:eastAsia="宋体"/>
      <w:sz w:val="21"/>
    </w:rPr>
  </w:style>
  <w:style w:type="paragraph" w:styleId="5">
    <w:name w:val="Body Text Indent"/>
    <w:basedOn w:val="1"/>
    <w:next w:val="6"/>
    <w:qFormat/>
    <w:uiPriority w:val="0"/>
    <w:pPr>
      <w:ind w:left="480" w:hanging="480" w:hangingChars="200"/>
    </w:pPr>
    <w:rPr>
      <w:sz w:val="24"/>
    </w:rPr>
  </w:style>
  <w:style w:type="paragraph" w:customStyle="1" w:styleId="6">
    <w:name w:val="正文文本首行缩进 21"/>
    <w:basedOn w:val="7"/>
    <w:qFormat/>
    <w:uiPriority w:val="99"/>
    <w:pPr>
      <w:tabs>
        <w:tab w:val="right" w:leader="dot" w:pos="8268"/>
      </w:tabs>
      <w:spacing w:line="200" w:lineRule="atLeast"/>
      <w:ind w:firstLine="420"/>
    </w:pPr>
    <w:rPr>
      <w:rFonts w:hAnsi="Courier New"/>
      <w:spacing w:val="-4"/>
      <w:sz w:val="18"/>
    </w:rPr>
  </w:style>
  <w:style w:type="paragraph" w:customStyle="1" w:styleId="7">
    <w:name w:val="正文缩进1"/>
    <w:basedOn w:val="8"/>
    <w:next w:val="6"/>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8">
    <w:name w:val="正文1"/>
    <w:basedOn w:val="9"/>
    <w:next w:val="10"/>
    <w:qFormat/>
    <w:uiPriority w:val="0"/>
    <w:pPr>
      <w:widowControl/>
      <w:spacing w:line="360" w:lineRule="auto"/>
      <w:ind w:left="360" w:firstLine="420"/>
      <w:jc w:val="left"/>
    </w:pPr>
    <w:rPr>
      <w:rFonts w:ascii="宋体" w:hAnsi="宋体" w:cs="宋体"/>
      <w:kern w:val="0"/>
      <w:szCs w:val="20"/>
    </w:rPr>
  </w:style>
  <w:style w:type="paragraph" w:styleId="9">
    <w:name w:val="toc 3"/>
    <w:basedOn w:val="1"/>
    <w:next w:val="1"/>
    <w:qFormat/>
    <w:uiPriority w:val="0"/>
    <w:pPr>
      <w:ind w:left="840" w:leftChars="400"/>
    </w:pPr>
  </w:style>
  <w:style w:type="paragraph" w:customStyle="1" w:styleId="10">
    <w:name w:val="标题 21"/>
    <w:basedOn w:val="8"/>
    <w:next w:val="8"/>
    <w:qFormat/>
    <w:uiPriority w:val="0"/>
    <w:pPr>
      <w:keepNext/>
      <w:keepLines/>
      <w:tabs>
        <w:tab w:val="left" w:pos="706"/>
      </w:tabs>
      <w:ind w:left="106" w:firstLine="454"/>
      <w:outlineLvl w:val="1"/>
    </w:pPr>
    <w:rPr>
      <w:rFonts w:ascii="Arial" w:hAnsi="Arial" w:eastAsia="??"/>
      <w:b/>
      <w:bCs/>
      <w:szCs w:val="32"/>
    </w:rPr>
  </w:style>
  <w:style w:type="paragraph" w:styleId="11">
    <w:name w:val="footnote text"/>
    <w:basedOn w:val="1"/>
    <w:qFormat/>
    <w:uiPriority w:val="0"/>
    <w:pPr>
      <w:snapToGrid w:val="0"/>
      <w:jc w:val="left"/>
    </w:pPr>
    <w:rPr>
      <w:sz w:val="18"/>
    </w:rPr>
  </w:style>
  <w:style w:type="character" w:styleId="14">
    <w:name w:val="footnote reference"/>
    <w:basedOn w:val="13"/>
    <w:qFormat/>
    <w:uiPriority w:val="0"/>
    <w:rPr>
      <w:vertAlign w:val="superscript"/>
    </w:rPr>
  </w:style>
  <w:style w:type="paragraph" w:customStyle="1" w:styleId="15">
    <w:name w:val="住建局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16">
    <w:name w:val="List Paragraph"/>
    <w:basedOn w:val="1"/>
    <w:qFormat/>
    <w:uiPriority w:val="34"/>
    <w:pPr>
      <w:ind w:firstLine="420" w:firstLineChars="200"/>
    </w:pPr>
  </w:style>
  <w:style w:type="paragraph" w:customStyle="1" w:styleId="17">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8">
    <w:name w:val="Table Normal"/>
    <w:basedOn w:val="12"/>
    <w:semiHidden/>
    <w:qFormat/>
    <w:uiPriority w:val="0"/>
    <w:pPr>
      <w:widowControl w:val="0"/>
      <w:autoSpaceDE w:val="0"/>
      <w:autoSpaceDN w:val="0"/>
    </w:pPr>
    <w:rPr>
      <w:sz w:val="22"/>
      <w:szCs w:val="22"/>
      <w:lang w:eastAsia="en-US"/>
    </w:rPr>
    <w:tblPr>
      <w:tblCellMar>
        <w:left w:w="0" w:type="dxa"/>
        <w:right w:w="0" w:type="dxa"/>
      </w:tblCellMar>
    </w:tbl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font41"/>
    <w:basedOn w:val="13"/>
    <w:qFormat/>
    <w:uiPriority w:val="0"/>
    <w:rPr>
      <w:rFonts w:hint="eastAsia" w:ascii="宋体" w:hAnsi="宋体" w:eastAsia="宋体" w:cs="宋体"/>
      <w:color w:val="000000"/>
      <w:sz w:val="22"/>
      <w:szCs w:val="22"/>
      <w:u w:val="none"/>
    </w:rPr>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font31"/>
    <w:basedOn w:val="13"/>
    <w:qFormat/>
    <w:uiPriority w:val="0"/>
    <w:rPr>
      <w:rFonts w:hint="default" w:ascii="Times New Roman" w:hAnsi="Times New Roman" w:cs="Times New Roman"/>
      <w:color w:val="000000"/>
      <w:sz w:val="22"/>
      <w:szCs w:val="22"/>
      <w:u w:val="none"/>
    </w:rPr>
  </w:style>
  <w:style w:type="character" w:customStyle="1" w:styleId="23">
    <w:name w:val="font11"/>
    <w:basedOn w:val="1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2454</Words>
  <Characters>2605</Characters>
  <Lines>0</Lines>
  <Paragraphs>0</Paragraphs>
  <TotalTime>11</TotalTime>
  <ScaleCrop>false</ScaleCrop>
  <LinksUpToDate>false</LinksUpToDate>
  <CharactersWithSpaces>2610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2026-03-17T03:38:00Z</dcterms:created>
  <dc:creator>Ao</dc:creator>
  <cp:lastModifiedBy>uos</cp:lastModifiedBy>
  <dcterms:modified xsi:type="dcterms:W3CDTF">2026-04-22T16:13:41Z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F3617FA07AF54F16BE3E190C244E9EB8_13</vt:lpwstr>
  </property>
  <property fmtid="{D5CDD505-2E9C-101B-9397-08002B2CF9AE}" pid="4" name="KSOTemplateDocerSaveRecord">
    <vt:lpwstr>eyJoZGlkIjoiNWMyZGNhNzU1NGVmNTFiYTI0MTFlMzkzYTQ5NWIxNTAiLCJ1c2VySWQiOiIzNjk1NjI3NjIifQ==</vt:lpwstr>
  </property>
</Properties>
</file>