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C71" w:rsidRDefault="00DA1C71" w:rsidP="00DA1C71">
      <w:pPr>
        <w:spacing w:line="600" w:lineRule="exact"/>
        <w:jc w:val="center"/>
        <w:rPr>
          <w:rFonts w:ascii="方正小标宋简体" w:eastAsia="方正小标宋简体" w:hAnsi="方正小标宋简体" w:cs="方正小标宋简体"/>
          <w:sz w:val="44"/>
          <w:szCs w:val="44"/>
        </w:rPr>
      </w:pPr>
      <w:bookmarkStart w:id="0" w:name="_GoBack"/>
      <w:r>
        <w:rPr>
          <w:rFonts w:ascii="方正小标宋简体" w:eastAsia="方正小标宋简体" w:hAnsi="方正小标宋简体" w:cs="方正小标宋简体" w:hint="eastAsia"/>
          <w:sz w:val="44"/>
          <w:szCs w:val="44"/>
        </w:rPr>
        <w:t>《</w:t>
      </w:r>
      <w:r w:rsidRPr="0025126A">
        <w:rPr>
          <w:rFonts w:ascii="方正小标宋简体" w:eastAsia="方正小标宋简体" w:hAnsi="方正小标宋简体" w:cs="方正小标宋简体" w:hint="eastAsia"/>
          <w:sz w:val="44"/>
          <w:szCs w:val="44"/>
        </w:rPr>
        <w:t>东莞市道路桥梁桥下空间利用和管理办法</w:t>
      </w:r>
      <w:r>
        <w:rPr>
          <w:rFonts w:ascii="方正小标宋简体" w:eastAsia="方正小标宋简体" w:hAnsi="方正小标宋简体" w:cs="方正小标宋简体" w:hint="eastAsia"/>
          <w:sz w:val="44"/>
          <w:szCs w:val="44"/>
        </w:rPr>
        <w:t>》政策解读</w:t>
      </w:r>
    </w:p>
    <w:bookmarkEnd w:id="0"/>
    <w:p w:rsidR="00DA1C71" w:rsidRDefault="00DA1C71" w:rsidP="00DA1C71">
      <w:pPr>
        <w:spacing w:line="600" w:lineRule="exact"/>
        <w:rPr>
          <w:rFonts w:ascii="仿宋_GB2312" w:eastAsia="仿宋_GB2312" w:hAnsi="仿宋_GB2312" w:cs="仿宋_GB2312"/>
          <w:sz w:val="32"/>
          <w:szCs w:val="32"/>
        </w:rPr>
      </w:pPr>
    </w:p>
    <w:p w:rsidR="00DA1C71" w:rsidRDefault="00DA1C71" w:rsidP="00DA1C71">
      <w:pPr>
        <w:adjustRightInd w:val="0"/>
        <w:snapToGrid w:val="0"/>
        <w:spacing w:line="360" w:lineRule="auto"/>
        <w:ind w:firstLineChars="200" w:firstLine="640"/>
        <w:rPr>
          <w:rFonts w:ascii="仿宋_GB2312" w:eastAsia="仿宋_GB2312" w:hAnsi="仿宋_GB2312" w:cs="仿宋_GB2312"/>
          <w:sz w:val="32"/>
          <w:szCs w:val="32"/>
        </w:rPr>
      </w:pPr>
      <w:r w:rsidRPr="00C66646">
        <w:rPr>
          <w:rFonts w:ascii="仿宋_GB2312" w:eastAsia="仿宋_GB2312" w:hAnsi="仿宋_GB2312" w:cs="仿宋_GB2312" w:hint="eastAsia"/>
          <w:sz w:val="32"/>
          <w:szCs w:val="32"/>
        </w:rPr>
        <w:t>为推进我市道路桥梁桥下空间资源的集约利用，加强桥下空间管理，结合我市实际，</w:t>
      </w:r>
      <w:r>
        <w:rPr>
          <w:rFonts w:ascii="仿宋_GB2312" w:eastAsia="仿宋_GB2312" w:hAnsi="仿宋_GB2312" w:cs="仿宋_GB2312" w:hint="eastAsia"/>
          <w:sz w:val="32"/>
          <w:szCs w:val="32"/>
        </w:rPr>
        <w:t>市交通运输局起草了《</w:t>
      </w:r>
      <w:r w:rsidRPr="00114C4C">
        <w:rPr>
          <w:rFonts w:ascii="仿宋_GB2312" w:eastAsia="仿宋_GB2312" w:hAnsi="仿宋_GB2312" w:cs="仿宋_GB2312" w:hint="eastAsia"/>
          <w:sz w:val="32"/>
          <w:szCs w:val="32"/>
        </w:rPr>
        <w:t>东莞市道路桥梁桥下空间利用和管理办法</w:t>
      </w:r>
      <w:r>
        <w:rPr>
          <w:rFonts w:ascii="仿宋_GB2312" w:eastAsia="仿宋_GB2312" w:hAnsi="仿宋_GB2312" w:cs="仿宋_GB2312" w:hint="eastAsia"/>
          <w:sz w:val="32"/>
          <w:szCs w:val="32"/>
        </w:rPr>
        <w:t>》（以下简称《办法》），</w:t>
      </w:r>
      <w:r>
        <w:rPr>
          <w:rFonts w:ascii="仿宋_GB2312" w:eastAsia="仿宋_GB2312" w:hAnsi="仿宋" w:cs="仿宋" w:hint="eastAsia"/>
          <w:sz w:val="32"/>
          <w:szCs w:val="32"/>
        </w:rPr>
        <w:t>将于</w:t>
      </w:r>
      <w:r w:rsidR="0096756B">
        <w:rPr>
          <w:rFonts w:ascii="仿宋_GB2312" w:eastAsia="仿宋_GB2312" w:hAnsi="仿宋" w:cs="仿宋" w:hint="eastAsia"/>
          <w:sz w:val="32"/>
          <w:szCs w:val="32"/>
        </w:rPr>
        <w:t>2020</w:t>
      </w:r>
      <w:r>
        <w:rPr>
          <w:rFonts w:ascii="仿宋_GB2312" w:eastAsia="仿宋_GB2312" w:hAnsi="仿宋" w:cs="仿宋" w:hint="eastAsia"/>
          <w:sz w:val="32"/>
          <w:szCs w:val="32"/>
        </w:rPr>
        <w:t>年</w:t>
      </w:r>
      <w:r w:rsidR="0096756B">
        <w:rPr>
          <w:rFonts w:ascii="仿宋_GB2312" w:eastAsia="仿宋_GB2312" w:hAnsi="仿宋" w:cs="仿宋" w:hint="eastAsia"/>
          <w:sz w:val="32"/>
          <w:szCs w:val="32"/>
        </w:rPr>
        <w:t>3</w:t>
      </w:r>
      <w:r>
        <w:rPr>
          <w:rFonts w:ascii="仿宋_GB2312" w:eastAsia="仿宋_GB2312" w:hAnsi="仿宋" w:cs="仿宋" w:hint="eastAsia"/>
          <w:sz w:val="32"/>
          <w:szCs w:val="32"/>
        </w:rPr>
        <w:t>月</w:t>
      </w:r>
      <w:r w:rsidR="0096756B">
        <w:rPr>
          <w:rFonts w:ascii="仿宋_GB2312" w:eastAsia="仿宋_GB2312" w:hAnsi="仿宋" w:cs="仿宋" w:hint="eastAsia"/>
          <w:sz w:val="32"/>
          <w:szCs w:val="32"/>
        </w:rPr>
        <w:t>10</w:t>
      </w:r>
      <w:r>
        <w:rPr>
          <w:rFonts w:ascii="仿宋_GB2312" w:eastAsia="仿宋_GB2312" w:hAnsi="仿宋" w:cs="仿宋" w:hint="eastAsia"/>
          <w:sz w:val="32"/>
          <w:szCs w:val="32"/>
        </w:rPr>
        <w:t>日起实施，</w:t>
      </w:r>
      <w:r>
        <w:rPr>
          <w:rFonts w:ascii="仿宋_GB2312" w:eastAsia="仿宋_GB2312" w:hAnsi="仿宋_GB2312" w:cs="仿宋_GB2312" w:hint="eastAsia"/>
          <w:sz w:val="32"/>
          <w:szCs w:val="32"/>
        </w:rPr>
        <w:t>现将有关内容解读如下：</w:t>
      </w:r>
    </w:p>
    <w:p w:rsidR="00DA1C71" w:rsidRDefault="00DA1C71" w:rsidP="00DA1C71">
      <w:pPr>
        <w:adjustRightInd w:val="0"/>
        <w:snapToGrid w:val="0"/>
        <w:spacing w:line="360" w:lineRule="auto"/>
        <w:ind w:firstLineChars="200" w:firstLine="640"/>
        <w:rPr>
          <w:rFonts w:ascii="黑体" w:eastAsia="黑体" w:hAnsi="黑体" w:cs="黑体"/>
          <w:sz w:val="32"/>
          <w:szCs w:val="32"/>
        </w:rPr>
      </w:pPr>
      <w:r>
        <w:rPr>
          <w:rFonts w:ascii="黑体" w:eastAsia="黑体" w:hAnsi="黑体" w:cs="黑体" w:hint="eastAsia"/>
          <w:sz w:val="32"/>
          <w:szCs w:val="32"/>
        </w:rPr>
        <w:t>一、《办法》出台背景和必要性</w:t>
      </w:r>
    </w:p>
    <w:p w:rsidR="00DA1C71" w:rsidRPr="00F543F7" w:rsidRDefault="00E27F33" w:rsidP="00E27F33">
      <w:pPr>
        <w:adjustRightInd w:val="0"/>
        <w:snapToGrid w:val="0"/>
        <w:spacing w:line="360" w:lineRule="auto"/>
        <w:ind w:firstLineChars="200" w:firstLine="640"/>
        <w:rPr>
          <w:rFonts w:ascii="仿宋_GB2312" w:eastAsia="仿宋_GB2312" w:hAnsi="仿宋" w:cs="宋体"/>
          <w:spacing w:val="-6"/>
          <w:sz w:val="32"/>
        </w:rPr>
      </w:pPr>
      <w:r>
        <w:rPr>
          <w:rFonts w:ascii="仿宋_GB2312" w:eastAsia="仿宋_GB2312" w:hAnsi="仿宋" w:cs="宋体" w:hint="eastAsia"/>
          <w:noProof/>
          <w:spacing w:val="-6"/>
          <w:sz w:val="32"/>
        </w:rPr>
        <w:drawing>
          <wp:anchor distT="0" distB="0" distL="114300" distR="114300" simplePos="0" relativeHeight="251658240" behindDoc="1" locked="0" layoutInCell="1" allowOverlap="1">
            <wp:simplePos x="0" y="0"/>
            <wp:positionH relativeFrom="column">
              <wp:posOffset>1332865</wp:posOffset>
            </wp:positionH>
            <wp:positionV relativeFrom="paragraph">
              <wp:posOffset>2446020</wp:posOffset>
            </wp:positionV>
            <wp:extent cx="4026535" cy="2265680"/>
            <wp:effectExtent l="19050" t="0" r="0" b="0"/>
            <wp:wrapTight wrapText="bothSides">
              <wp:wrapPolygon edited="0">
                <wp:start x="-102" y="0"/>
                <wp:lineTo x="-102" y="21430"/>
                <wp:lineTo x="21563" y="21430"/>
                <wp:lineTo x="21563" y="0"/>
                <wp:lineTo x="-102" y="0"/>
              </wp:wrapPolygon>
            </wp:wrapTight>
            <wp:docPr id="3" name="图片 2" descr="C:\Users\ADMINI~1\AppData\Local\Temp\WeChat Files\d781c764f53b6539522f592fee76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d781c764f53b6539522f592fee76ae9.jpg"/>
                    <pic:cNvPicPr>
                      <a:picLocks noChangeAspect="1" noChangeArrowheads="1"/>
                    </pic:cNvPicPr>
                  </pic:nvPicPr>
                  <pic:blipFill>
                    <a:blip r:embed="rId7" cstate="print"/>
                    <a:srcRect/>
                    <a:stretch>
                      <a:fillRect/>
                    </a:stretch>
                  </pic:blipFill>
                  <pic:spPr bwMode="auto">
                    <a:xfrm>
                      <a:off x="0" y="0"/>
                      <a:ext cx="4026535" cy="2265680"/>
                    </a:xfrm>
                    <a:prstGeom prst="rect">
                      <a:avLst/>
                    </a:prstGeom>
                    <a:noFill/>
                    <a:ln w="9525">
                      <a:noFill/>
                      <a:miter lim="800000"/>
                      <a:headEnd/>
                      <a:tailEnd/>
                    </a:ln>
                  </pic:spPr>
                </pic:pic>
              </a:graphicData>
            </a:graphic>
          </wp:anchor>
        </w:drawing>
      </w:r>
      <w:r w:rsidR="00DA1C71" w:rsidRPr="00F543F7">
        <w:rPr>
          <w:rFonts w:ascii="仿宋_GB2312" w:eastAsia="仿宋_GB2312" w:hAnsi="仿宋" w:cs="宋体" w:hint="eastAsia"/>
          <w:spacing w:val="-6"/>
          <w:sz w:val="32"/>
        </w:rPr>
        <w:t>近年来</w:t>
      </w:r>
      <w:r w:rsidR="00DA1C71" w:rsidRPr="00F543F7">
        <w:rPr>
          <w:rFonts w:ascii="仿宋_GB2312" w:eastAsia="仿宋_GB2312" w:hAnsi="仿宋" w:cs="宋体"/>
          <w:spacing w:val="-6"/>
          <w:sz w:val="32"/>
        </w:rPr>
        <w:t>我市</w:t>
      </w:r>
      <w:r w:rsidR="00DA1C71" w:rsidRPr="00F543F7">
        <w:rPr>
          <w:rFonts w:ascii="仿宋_GB2312" w:eastAsia="仿宋_GB2312" w:hAnsi="仿宋" w:cs="宋体" w:hint="eastAsia"/>
          <w:spacing w:val="-6"/>
          <w:sz w:val="32"/>
        </w:rPr>
        <w:t>城市规模和城市化水平迅速提高，土地资源紧张，而交通设施不断完善，大批道路投入使用，道路桥梁穿城镇、人口密集区域越来越多，桥下空间的利用已逐渐成为一种新的土地利用形态和空间形式，桥下空间管理的理念、方式、手段应当与时俱进，适时转变。在不影响桥梁运营安全、桥梁功能发挥和桥梁日常检测维护的前提下，对桥下空间进行适度开发利用，有利于加强我市道路桥下空间有效管理，有利于</w:t>
      </w:r>
      <w:r w:rsidR="00DA1C71" w:rsidRPr="00F543F7">
        <w:rPr>
          <w:rFonts w:ascii="仿宋_GB2312" w:eastAsia="仿宋_GB2312" w:hAnsi="仿宋" w:cs="宋体"/>
          <w:spacing w:val="-6"/>
          <w:sz w:val="32"/>
        </w:rPr>
        <w:t>优化拓展空间</w:t>
      </w:r>
      <w:r w:rsidR="00DA1C71" w:rsidRPr="00F543F7">
        <w:rPr>
          <w:rFonts w:ascii="仿宋_GB2312" w:eastAsia="仿宋_GB2312" w:hAnsi="仿宋" w:cs="宋体" w:hint="eastAsia"/>
          <w:spacing w:val="-6"/>
          <w:sz w:val="32"/>
        </w:rPr>
        <w:t>，</w:t>
      </w:r>
      <w:r w:rsidR="00DA1C71" w:rsidRPr="00F543F7">
        <w:rPr>
          <w:rFonts w:ascii="仿宋_GB2312" w:eastAsia="仿宋_GB2312" w:hAnsi="仿宋" w:cs="宋体"/>
          <w:spacing w:val="-6"/>
          <w:sz w:val="32"/>
        </w:rPr>
        <w:t>提升</w:t>
      </w:r>
      <w:r w:rsidR="00DA1C71" w:rsidRPr="00F543F7">
        <w:rPr>
          <w:rFonts w:ascii="仿宋_GB2312" w:eastAsia="仿宋_GB2312" w:hAnsi="仿宋" w:cs="宋体" w:hint="eastAsia"/>
          <w:spacing w:val="-6"/>
          <w:sz w:val="32"/>
        </w:rPr>
        <w:t>城市</w:t>
      </w:r>
      <w:r w:rsidR="00DA1C71" w:rsidRPr="00F543F7">
        <w:rPr>
          <w:rFonts w:ascii="仿宋_GB2312" w:eastAsia="仿宋_GB2312" w:hAnsi="仿宋" w:cs="宋体"/>
          <w:spacing w:val="-6"/>
          <w:sz w:val="32"/>
        </w:rPr>
        <w:t>功能品质</w:t>
      </w:r>
      <w:r w:rsidR="00DA1C71" w:rsidRPr="00F543F7">
        <w:rPr>
          <w:rFonts w:ascii="仿宋_GB2312" w:eastAsia="仿宋_GB2312" w:hAnsi="仿宋" w:cs="宋体" w:hint="eastAsia"/>
          <w:spacing w:val="-6"/>
          <w:sz w:val="32"/>
        </w:rPr>
        <w:t>。</w:t>
      </w:r>
      <w:r w:rsidR="00DA1C71" w:rsidRPr="00F543F7">
        <w:rPr>
          <w:rFonts w:ascii="仿宋_GB2312" w:eastAsia="仿宋_GB2312" w:hAnsi="仿宋" w:cs="宋体"/>
          <w:spacing w:val="-6"/>
          <w:sz w:val="32"/>
        </w:rPr>
        <w:t> </w:t>
      </w:r>
    </w:p>
    <w:p w:rsidR="00DA1C71" w:rsidRDefault="00DA1C71" w:rsidP="00E27F33">
      <w:pPr>
        <w:adjustRightInd w:val="0"/>
        <w:snapToGrid w:val="0"/>
        <w:spacing w:line="360" w:lineRule="auto"/>
        <w:ind w:firstLineChars="200" w:firstLine="616"/>
        <w:rPr>
          <w:rFonts w:ascii="仿宋_GB2312" w:eastAsia="仿宋_GB2312" w:hAnsi="仿宋" w:cs="宋体"/>
          <w:spacing w:val="-6"/>
          <w:sz w:val="32"/>
        </w:rPr>
      </w:pPr>
      <w:r w:rsidRPr="00F543F7">
        <w:rPr>
          <w:rFonts w:ascii="仿宋_GB2312" w:eastAsia="仿宋_GB2312" w:hAnsi="仿宋" w:cs="宋体"/>
          <w:spacing w:val="-6"/>
          <w:sz w:val="32"/>
        </w:rPr>
        <w:t>因此，尽快制定</w:t>
      </w:r>
      <w:r>
        <w:rPr>
          <w:rFonts w:ascii="仿宋_GB2312" w:eastAsia="仿宋_GB2312" w:hAnsi="仿宋" w:cs="宋体"/>
          <w:spacing w:val="-6"/>
          <w:sz w:val="32"/>
        </w:rPr>
        <w:t>规范性文件</w:t>
      </w:r>
      <w:r w:rsidRPr="00F543F7">
        <w:rPr>
          <w:rFonts w:ascii="仿宋_GB2312" w:eastAsia="仿宋_GB2312" w:hAnsi="仿宋" w:cs="宋体"/>
          <w:spacing w:val="-6"/>
          <w:sz w:val="32"/>
        </w:rPr>
        <w:t>，依法规范</w:t>
      </w:r>
      <w:r w:rsidRPr="00F543F7">
        <w:rPr>
          <w:rFonts w:ascii="仿宋_GB2312" w:eastAsia="仿宋_GB2312" w:hAnsi="仿宋" w:cs="宋体" w:hint="eastAsia"/>
          <w:spacing w:val="-6"/>
          <w:sz w:val="32"/>
        </w:rPr>
        <w:t>开展桥下空间利用</w:t>
      </w:r>
      <w:r w:rsidRPr="00F543F7">
        <w:rPr>
          <w:rFonts w:ascii="仿宋_GB2312" w:eastAsia="仿宋_GB2312" w:hAnsi="仿宋" w:cs="宋体" w:hint="eastAsia"/>
          <w:spacing w:val="-6"/>
          <w:sz w:val="32"/>
        </w:rPr>
        <w:lastRenderedPageBreak/>
        <w:t>和管理</w:t>
      </w:r>
      <w:r w:rsidRPr="00F543F7">
        <w:rPr>
          <w:rFonts w:ascii="仿宋_GB2312" w:eastAsia="仿宋_GB2312" w:hAnsi="仿宋" w:cs="宋体"/>
          <w:spacing w:val="-6"/>
          <w:sz w:val="32"/>
        </w:rPr>
        <w:t>工作是十分必要和迫切的，</w:t>
      </w:r>
      <w:r w:rsidRPr="00F543F7">
        <w:rPr>
          <w:rFonts w:ascii="仿宋_GB2312" w:eastAsia="仿宋_GB2312" w:hAnsi="仿宋" w:cs="宋体" w:hint="eastAsia"/>
          <w:spacing w:val="-6"/>
          <w:sz w:val="32"/>
        </w:rPr>
        <w:t>对促进公共资源的有效使用，提升路域环境水平，提升人民群众的获得感、幸福感、安全感等方面有着重要的意义。</w:t>
      </w:r>
    </w:p>
    <w:p w:rsidR="00DA1C71" w:rsidRDefault="00DA1C71" w:rsidP="00DA1C71">
      <w:pPr>
        <w:adjustRightInd w:val="0"/>
        <w:snapToGrid w:val="0"/>
        <w:spacing w:line="360" w:lineRule="auto"/>
        <w:ind w:firstLineChars="200" w:firstLine="640"/>
        <w:rPr>
          <w:rFonts w:ascii="黑体" w:eastAsia="黑体" w:hAnsi="黑体" w:cs="黑体"/>
          <w:sz w:val="32"/>
          <w:szCs w:val="32"/>
        </w:rPr>
      </w:pPr>
      <w:r>
        <w:rPr>
          <w:rFonts w:ascii="黑体" w:eastAsia="黑体" w:hAnsi="黑体" w:cs="黑体" w:hint="eastAsia"/>
          <w:sz w:val="32"/>
          <w:szCs w:val="32"/>
        </w:rPr>
        <w:t>二、主要内容及需要说明的条款</w:t>
      </w:r>
    </w:p>
    <w:p w:rsidR="00DA1C71" w:rsidRDefault="00DA1C71" w:rsidP="00DA1C71">
      <w:pPr>
        <w:adjustRightInd w:val="0"/>
        <w:snapToGrid w:val="0"/>
        <w:spacing w:line="360" w:lineRule="auto"/>
        <w:ind w:firstLineChars="200" w:firstLine="640"/>
        <w:rPr>
          <w:rFonts w:ascii="仿宋_GB2312" w:eastAsia="仿宋_GB2312" w:hAnsi="仿宋_GB2312" w:cs="仿宋_GB2312"/>
          <w:sz w:val="32"/>
          <w:szCs w:val="32"/>
        </w:rPr>
      </w:pPr>
      <w:r w:rsidRPr="00F543F7">
        <w:rPr>
          <w:rFonts w:ascii="仿宋_GB2312" w:eastAsia="仿宋_GB2312" w:hAnsi="仿宋" w:hint="eastAsia"/>
          <w:sz w:val="32"/>
          <w:szCs w:val="32"/>
        </w:rPr>
        <w:t>《办法</w:t>
      </w:r>
      <w:r w:rsidRPr="00F543F7">
        <w:rPr>
          <w:rStyle w:val="content1"/>
          <w:rFonts w:ascii="仿宋_GB2312" w:eastAsia="仿宋_GB2312" w:hAnsi="仿宋" w:hint="eastAsia"/>
          <w:sz w:val="32"/>
          <w:szCs w:val="32"/>
        </w:rPr>
        <w:t>》送审稿</w:t>
      </w:r>
      <w:r w:rsidRPr="00F543F7">
        <w:rPr>
          <w:rFonts w:ascii="仿宋_GB2312" w:eastAsia="仿宋_GB2312" w:hAnsi="仿宋" w:hint="eastAsia"/>
          <w:sz w:val="32"/>
          <w:szCs w:val="32"/>
        </w:rPr>
        <w:t>共十五条，</w:t>
      </w:r>
      <w:r>
        <w:rPr>
          <w:rFonts w:ascii="仿宋_GB2312" w:eastAsia="仿宋_GB2312" w:hAnsi="仿宋_GB2312" w:cs="仿宋_GB2312" w:hint="eastAsia"/>
          <w:sz w:val="32"/>
          <w:szCs w:val="32"/>
        </w:rPr>
        <w:t>明确了目的依据、适用范围、利用原则、职责分工、利用用途、办理程序、禁止行为、管理要求等。下面就几点内容进一步说明：</w:t>
      </w:r>
    </w:p>
    <w:p w:rsidR="00DA1C71" w:rsidRDefault="00DA1C71" w:rsidP="00DA1C71">
      <w:pPr>
        <w:widowControl/>
        <w:numPr>
          <w:ilvl w:val="0"/>
          <w:numId w:val="1"/>
        </w:numPr>
        <w:shd w:val="clear" w:color="auto" w:fill="FFFFFF"/>
        <w:adjustRightInd w:val="0"/>
        <w:snapToGrid w:val="0"/>
        <w:spacing w:line="360" w:lineRule="auto"/>
        <w:jc w:val="left"/>
        <w:rPr>
          <w:rStyle w:val="content1"/>
          <w:rFonts w:ascii="楷体_GB2312" w:eastAsia="楷体_GB2312" w:hAnsi="楷体"/>
          <w:sz w:val="32"/>
          <w:szCs w:val="32"/>
        </w:rPr>
      </w:pPr>
      <w:r>
        <w:rPr>
          <w:rStyle w:val="content1"/>
          <w:rFonts w:ascii="楷体_GB2312" w:eastAsia="楷体_GB2312" w:hAnsi="楷体" w:hint="eastAsia"/>
          <w:sz w:val="32"/>
          <w:szCs w:val="32"/>
        </w:rPr>
        <w:t>关于适用范围</w:t>
      </w:r>
    </w:p>
    <w:p w:rsidR="00DA1C71" w:rsidRDefault="00DA1C71" w:rsidP="00DA1C71">
      <w:pPr>
        <w:widowControl/>
        <w:shd w:val="clear" w:color="auto" w:fill="FFFFFF"/>
        <w:adjustRightInd w:val="0"/>
        <w:snapToGrid w:val="0"/>
        <w:spacing w:line="360" w:lineRule="auto"/>
        <w:ind w:firstLineChars="200" w:firstLine="616"/>
        <w:jc w:val="left"/>
        <w:rPr>
          <w:rFonts w:ascii="仿宋_GB2312" w:eastAsia="仿宋_GB2312" w:hAnsi="宋体" w:cs="宋体"/>
          <w:color w:val="000000"/>
          <w:spacing w:val="-6"/>
          <w:kern w:val="0"/>
          <w:sz w:val="32"/>
          <w:szCs w:val="32"/>
        </w:rPr>
      </w:pPr>
      <w:r w:rsidRPr="00A60185">
        <w:rPr>
          <w:rFonts w:ascii="仿宋_GB2312" w:eastAsia="仿宋_GB2312" w:hAnsi="宋体" w:cs="宋体" w:hint="eastAsia"/>
          <w:color w:val="000000"/>
          <w:spacing w:val="-6"/>
          <w:kern w:val="0"/>
          <w:sz w:val="32"/>
          <w:szCs w:val="32"/>
        </w:rPr>
        <w:t>本办法适用于</w:t>
      </w:r>
      <w:r>
        <w:rPr>
          <w:rFonts w:ascii="仿宋_GB2312" w:eastAsia="仿宋_GB2312" w:hAnsi="宋体" w:cs="宋体" w:hint="eastAsia"/>
          <w:color w:val="000000"/>
          <w:spacing w:val="-6"/>
          <w:kern w:val="0"/>
          <w:sz w:val="32"/>
          <w:szCs w:val="32"/>
        </w:rPr>
        <w:t>东莞</w:t>
      </w:r>
      <w:r w:rsidRPr="00A60185">
        <w:rPr>
          <w:rFonts w:ascii="仿宋_GB2312" w:eastAsia="仿宋_GB2312" w:hAnsi="宋体" w:cs="宋体" w:hint="eastAsia"/>
          <w:color w:val="000000"/>
          <w:spacing w:val="-6"/>
          <w:kern w:val="0"/>
          <w:sz w:val="32"/>
          <w:szCs w:val="32"/>
        </w:rPr>
        <w:t>市行政区域内的</w:t>
      </w:r>
      <w:r>
        <w:rPr>
          <w:rFonts w:ascii="仿宋_GB2312" w:eastAsia="仿宋_GB2312" w:hAnsi="宋体" w:cs="宋体" w:hint="eastAsia"/>
          <w:color w:val="000000"/>
          <w:spacing w:val="-6"/>
          <w:kern w:val="0"/>
          <w:sz w:val="32"/>
          <w:szCs w:val="32"/>
        </w:rPr>
        <w:t>城市桥梁和</w:t>
      </w:r>
      <w:r w:rsidRPr="00A60185">
        <w:rPr>
          <w:rFonts w:ascii="仿宋_GB2312" w:eastAsia="仿宋_GB2312" w:hAnsi="宋体" w:cs="宋体" w:hint="eastAsia"/>
          <w:color w:val="000000"/>
          <w:spacing w:val="-6"/>
          <w:kern w:val="0"/>
          <w:sz w:val="32"/>
          <w:szCs w:val="32"/>
        </w:rPr>
        <w:t>公路桥梁</w:t>
      </w:r>
      <w:r>
        <w:rPr>
          <w:rFonts w:ascii="仿宋_GB2312" w:eastAsia="仿宋_GB2312" w:hAnsi="宋体" w:cs="宋体" w:hint="eastAsia"/>
          <w:color w:val="000000"/>
          <w:spacing w:val="-6"/>
          <w:kern w:val="0"/>
          <w:sz w:val="32"/>
          <w:szCs w:val="32"/>
        </w:rPr>
        <w:t>（含高速公路桥梁，不含铁路桥梁）</w:t>
      </w:r>
      <w:r w:rsidRPr="00A60185">
        <w:rPr>
          <w:rFonts w:ascii="仿宋_GB2312" w:eastAsia="仿宋_GB2312" w:hAnsi="宋体" w:cs="宋体" w:hint="eastAsia"/>
          <w:color w:val="000000"/>
          <w:spacing w:val="-6"/>
          <w:kern w:val="0"/>
          <w:sz w:val="32"/>
          <w:szCs w:val="32"/>
        </w:rPr>
        <w:t>桥下空间。</w:t>
      </w:r>
    </w:p>
    <w:p w:rsidR="00DA1C71" w:rsidRPr="009D4A74" w:rsidRDefault="00DA1C71" w:rsidP="00DA1C71">
      <w:pPr>
        <w:widowControl/>
        <w:shd w:val="clear" w:color="auto" w:fill="FFFFFF"/>
        <w:adjustRightInd w:val="0"/>
        <w:snapToGrid w:val="0"/>
        <w:spacing w:line="360" w:lineRule="auto"/>
        <w:ind w:firstLineChars="200" w:firstLine="616"/>
        <w:jc w:val="left"/>
        <w:rPr>
          <w:rFonts w:ascii="仿宋_GB2312" w:eastAsia="仿宋_GB2312" w:hAnsi="宋体" w:cs="宋体"/>
          <w:spacing w:val="-6"/>
          <w:kern w:val="0"/>
          <w:sz w:val="32"/>
          <w:szCs w:val="32"/>
        </w:rPr>
      </w:pPr>
      <w:r w:rsidRPr="00A60185">
        <w:rPr>
          <w:rFonts w:ascii="仿宋_GB2312" w:eastAsia="仿宋_GB2312" w:hAnsi="宋体" w:cs="宋体" w:hint="eastAsia"/>
          <w:color w:val="000000"/>
          <w:spacing w:val="-6"/>
          <w:kern w:val="0"/>
          <w:sz w:val="32"/>
          <w:szCs w:val="32"/>
        </w:rPr>
        <w:t>桥下空间</w:t>
      </w:r>
      <w:r>
        <w:rPr>
          <w:rFonts w:ascii="仿宋_GB2312" w:eastAsia="仿宋_GB2312" w:hAnsi="宋体" w:cs="宋体" w:hint="eastAsia"/>
          <w:color w:val="000000"/>
          <w:spacing w:val="-6"/>
          <w:kern w:val="0"/>
          <w:sz w:val="32"/>
          <w:szCs w:val="32"/>
        </w:rPr>
        <w:t>是</w:t>
      </w:r>
      <w:r w:rsidRPr="00A60185">
        <w:rPr>
          <w:rFonts w:ascii="仿宋_GB2312" w:eastAsia="仿宋_GB2312" w:hAnsi="宋体" w:cs="宋体" w:hint="eastAsia"/>
          <w:color w:val="000000"/>
          <w:spacing w:val="-6"/>
          <w:kern w:val="0"/>
          <w:sz w:val="32"/>
          <w:szCs w:val="32"/>
        </w:rPr>
        <w:t>指桥梁垂直投影范围内的空间以及桥梁规划红线内的陆域</w:t>
      </w:r>
      <w:r>
        <w:rPr>
          <w:rFonts w:ascii="仿宋_GB2312" w:eastAsia="仿宋_GB2312" w:hAnsi="宋体" w:cs="宋体" w:hint="eastAsia"/>
          <w:color w:val="000000"/>
          <w:spacing w:val="-6"/>
          <w:kern w:val="0"/>
          <w:sz w:val="32"/>
          <w:szCs w:val="32"/>
        </w:rPr>
        <w:t>用地（不含基</w:t>
      </w:r>
      <w:r w:rsidRPr="009D4A74">
        <w:rPr>
          <w:rFonts w:ascii="仿宋_GB2312" w:eastAsia="仿宋_GB2312" w:hAnsi="宋体" w:cs="宋体" w:hint="eastAsia"/>
          <w:spacing w:val="-6"/>
          <w:kern w:val="0"/>
          <w:sz w:val="32"/>
          <w:szCs w:val="32"/>
        </w:rPr>
        <w:t>本农田、河道及其堤防）。</w:t>
      </w:r>
    </w:p>
    <w:p w:rsidR="00DA1C71" w:rsidRPr="009D4A74" w:rsidRDefault="00DA1C71" w:rsidP="00DA1C71">
      <w:pPr>
        <w:widowControl/>
        <w:numPr>
          <w:ilvl w:val="0"/>
          <w:numId w:val="1"/>
        </w:numPr>
        <w:shd w:val="clear" w:color="auto" w:fill="FFFFFF"/>
        <w:adjustRightInd w:val="0"/>
        <w:snapToGrid w:val="0"/>
        <w:spacing w:line="360" w:lineRule="auto"/>
        <w:jc w:val="left"/>
        <w:rPr>
          <w:rStyle w:val="content1"/>
          <w:rFonts w:ascii="楷体_GB2312" w:eastAsia="楷体_GB2312" w:hAnsi="楷体"/>
          <w:sz w:val="32"/>
          <w:szCs w:val="32"/>
        </w:rPr>
      </w:pPr>
      <w:r w:rsidRPr="009D4A74">
        <w:rPr>
          <w:rStyle w:val="content1"/>
          <w:rFonts w:ascii="楷体_GB2312" w:eastAsia="楷体_GB2312" w:hAnsi="楷体" w:hint="eastAsia"/>
          <w:sz w:val="32"/>
          <w:szCs w:val="32"/>
        </w:rPr>
        <w:t>关于利用原则</w:t>
      </w:r>
    </w:p>
    <w:p w:rsidR="00DA1C71" w:rsidRPr="0074147A" w:rsidRDefault="00DA1C71" w:rsidP="00DA1C71">
      <w:pPr>
        <w:widowControl/>
        <w:shd w:val="clear" w:color="auto" w:fill="FFFFFF"/>
        <w:adjustRightInd w:val="0"/>
        <w:snapToGrid w:val="0"/>
        <w:spacing w:line="360" w:lineRule="auto"/>
        <w:ind w:firstLineChars="200" w:firstLine="640"/>
        <w:jc w:val="left"/>
        <w:rPr>
          <w:rStyle w:val="content1"/>
          <w:rFonts w:ascii="楷体_GB2312" w:eastAsia="楷体_GB2312" w:hAnsi="楷体"/>
          <w:sz w:val="32"/>
          <w:szCs w:val="32"/>
        </w:rPr>
      </w:pPr>
      <w:r w:rsidRPr="00F543F7">
        <w:rPr>
          <w:rStyle w:val="content1"/>
          <w:rFonts w:ascii="仿宋_GB2312" w:eastAsia="仿宋_GB2312" w:hAnsi="仿宋" w:hint="eastAsia"/>
          <w:sz w:val="32"/>
          <w:szCs w:val="32"/>
        </w:rPr>
        <w:t>桥下空间利用的应坚持“安全第一、公益优先、合理利用、兼顾现状、整体协调”的原则，只有在确保桥梁安全和道路通行安全的前提下才可以对桥梁桥下空间进行安全、合理、合法利用。桥下空间利用应当主要用于公益性开发，原则上不得用于商业开发。</w:t>
      </w:r>
    </w:p>
    <w:p w:rsidR="00DA1C71" w:rsidRDefault="00DA1C71" w:rsidP="00DA1C71">
      <w:pPr>
        <w:widowControl/>
        <w:numPr>
          <w:ilvl w:val="0"/>
          <w:numId w:val="1"/>
        </w:numPr>
        <w:shd w:val="clear" w:color="auto" w:fill="FFFFFF"/>
        <w:adjustRightInd w:val="0"/>
        <w:snapToGrid w:val="0"/>
        <w:spacing w:line="360" w:lineRule="auto"/>
        <w:jc w:val="left"/>
        <w:rPr>
          <w:rStyle w:val="content1"/>
          <w:rFonts w:ascii="楷体_GB2312" w:eastAsia="楷体_GB2312" w:hAnsi="楷体"/>
          <w:sz w:val="32"/>
          <w:szCs w:val="32"/>
        </w:rPr>
      </w:pPr>
      <w:r>
        <w:rPr>
          <w:rStyle w:val="content1"/>
          <w:rFonts w:ascii="楷体_GB2312" w:eastAsia="楷体_GB2312" w:hAnsi="楷体" w:hint="eastAsia"/>
          <w:sz w:val="32"/>
          <w:szCs w:val="32"/>
        </w:rPr>
        <w:t>关于职责分工</w:t>
      </w:r>
    </w:p>
    <w:p w:rsidR="00DA1C71" w:rsidRPr="00F543F7" w:rsidRDefault="00DA1C71" w:rsidP="00DA1C71">
      <w:pPr>
        <w:widowControl/>
        <w:shd w:val="clear" w:color="auto" w:fill="FFFFFF"/>
        <w:adjustRightInd w:val="0"/>
        <w:snapToGrid w:val="0"/>
        <w:spacing w:line="360" w:lineRule="auto"/>
        <w:ind w:firstLineChars="200" w:firstLine="640"/>
        <w:jc w:val="left"/>
        <w:rPr>
          <w:rStyle w:val="content1"/>
          <w:rFonts w:ascii="仿宋_GB2312" w:eastAsia="仿宋_GB2312" w:hAnsi="仿宋"/>
          <w:sz w:val="32"/>
          <w:szCs w:val="32"/>
        </w:rPr>
      </w:pPr>
      <w:r w:rsidRPr="00F543F7">
        <w:rPr>
          <w:rStyle w:val="content1"/>
          <w:rFonts w:ascii="仿宋_GB2312" w:eastAsia="仿宋_GB2312" w:hAnsi="仿宋" w:hint="eastAsia"/>
          <w:sz w:val="32"/>
          <w:szCs w:val="32"/>
        </w:rPr>
        <w:t>明确了市交通运输局负责指导全市道路桥梁桥下空间利用管理工作</w:t>
      </w:r>
      <w:r>
        <w:rPr>
          <w:rStyle w:val="content1"/>
          <w:rFonts w:ascii="仿宋_GB2312" w:eastAsia="仿宋_GB2312" w:hAnsi="仿宋" w:hint="eastAsia"/>
          <w:sz w:val="32"/>
          <w:szCs w:val="32"/>
        </w:rPr>
        <w:t>；</w:t>
      </w:r>
      <w:r w:rsidRPr="00547792">
        <w:rPr>
          <w:rFonts w:ascii="仿宋_GB2312" w:eastAsia="仿宋_GB2312" w:hAnsi="宋体" w:cs="宋体"/>
          <w:spacing w:val="-6"/>
          <w:kern w:val="0"/>
          <w:sz w:val="32"/>
          <w:szCs w:val="32"/>
        </w:rPr>
        <w:t>各</w:t>
      </w:r>
      <w:r w:rsidRPr="00547792">
        <w:rPr>
          <w:rFonts w:ascii="仿宋_GB2312" w:eastAsia="仿宋_GB2312" w:hAnsi="宋体" w:cs="宋体" w:hint="eastAsia"/>
          <w:spacing w:val="-6"/>
          <w:kern w:val="0"/>
          <w:sz w:val="32"/>
          <w:szCs w:val="32"/>
        </w:rPr>
        <w:t>园区、镇街人</w:t>
      </w:r>
      <w:r w:rsidRPr="007C2E2B">
        <w:rPr>
          <w:rFonts w:ascii="仿宋_GB2312" w:eastAsia="仿宋_GB2312" w:hAnsi="宋体" w:cs="宋体" w:hint="eastAsia"/>
          <w:spacing w:val="-6"/>
          <w:kern w:val="0"/>
          <w:sz w:val="32"/>
          <w:szCs w:val="32"/>
        </w:rPr>
        <w:t>民</w:t>
      </w:r>
      <w:r w:rsidRPr="007C2E2B">
        <w:rPr>
          <w:rFonts w:ascii="仿宋_GB2312" w:eastAsia="仿宋_GB2312" w:hAnsi="宋体" w:cs="宋体"/>
          <w:spacing w:val="-6"/>
          <w:kern w:val="0"/>
          <w:sz w:val="32"/>
          <w:szCs w:val="32"/>
        </w:rPr>
        <w:t>政府</w:t>
      </w:r>
      <w:r w:rsidRPr="007C2E2B">
        <w:rPr>
          <w:rFonts w:ascii="仿宋_GB2312" w:eastAsia="仿宋_GB2312" w:hAnsi="宋体" w:cs="宋体" w:hint="eastAsia"/>
          <w:spacing w:val="-6"/>
          <w:kern w:val="0"/>
          <w:sz w:val="32"/>
          <w:szCs w:val="32"/>
        </w:rPr>
        <w:t>负责</w:t>
      </w:r>
      <w:r w:rsidRPr="007C2E2B">
        <w:rPr>
          <w:rFonts w:ascii="仿宋_GB2312" w:eastAsia="仿宋_GB2312" w:hAnsi="宋体" w:cs="宋体"/>
          <w:spacing w:val="-6"/>
          <w:kern w:val="0"/>
          <w:sz w:val="32"/>
          <w:szCs w:val="32"/>
        </w:rPr>
        <w:t>所辖区域内</w:t>
      </w:r>
      <w:r w:rsidRPr="007C2E2B">
        <w:rPr>
          <w:rFonts w:ascii="仿宋_GB2312" w:eastAsia="仿宋_GB2312" w:hAnsi="宋体" w:cs="宋体" w:hint="eastAsia"/>
          <w:spacing w:val="-6"/>
          <w:kern w:val="0"/>
          <w:sz w:val="32"/>
          <w:szCs w:val="32"/>
        </w:rPr>
        <w:t>城市道路和公路</w:t>
      </w:r>
      <w:r w:rsidRPr="007C2E2B">
        <w:rPr>
          <w:rFonts w:ascii="仿宋_GB2312" w:eastAsia="仿宋_GB2312" w:hAnsi="宋体" w:cs="宋体"/>
          <w:spacing w:val="-6"/>
          <w:kern w:val="0"/>
          <w:sz w:val="32"/>
          <w:szCs w:val="32"/>
        </w:rPr>
        <w:t>桥</w:t>
      </w:r>
      <w:proofErr w:type="gramStart"/>
      <w:r w:rsidRPr="007C2E2B">
        <w:rPr>
          <w:rFonts w:ascii="仿宋_GB2312" w:eastAsia="仿宋_GB2312" w:hAnsi="宋体" w:cs="宋体"/>
          <w:spacing w:val="-6"/>
          <w:kern w:val="0"/>
          <w:sz w:val="32"/>
          <w:szCs w:val="32"/>
        </w:rPr>
        <w:t>下空间</w:t>
      </w:r>
      <w:proofErr w:type="gramEnd"/>
      <w:r w:rsidRPr="007C2E2B">
        <w:rPr>
          <w:rFonts w:ascii="仿宋_GB2312" w:eastAsia="仿宋_GB2312" w:hAnsi="宋体" w:cs="宋体" w:hint="eastAsia"/>
          <w:spacing w:val="-6"/>
          <w:kern w:val="0"/>
          <w:sz w:val="32"/>
          <w:szCs w:val="32"/>
        </w:rPr>
        <w:t>利用</w:t>
      </w:r>
      <w:r w:rsidRPr="007C2E2B">
        <w:rPr>
          <w:rFonts w:ascii="仿宋_GB2312" w:eastAsia="仿宋_GB2312" w:hAnsi="宋体" w:cs="宋体"/>
          <w:spacing w:val="-6"/>
          <w:kern w:val="0"/>
          <w:sz w:val="32"/>
          <w:szCs w:val="32"/>
        </w:rPr>
        <w:t>管理</w:t>
      </w:r>
      <w:r w:rsidRPr="007C2E2B">
        <w:rPr>
          <w:rFonts w:ascii="仿宋_GB2312" w:eastAsia="仿宋_GB2312" w:hAnsi="宋体" w:cs="宋体" w:hint="eastAsia"/>
          <w:spacing w:val="-6"/>
          <w:kern w:val="0"/>
          <w:sz w:val="32"/>
          <w:szCs w:val="32"/>
        </w:rPr>
        <w:t>工作</w:t>
      </w:r>
      <w:r w:rsidRPr="007C2E2B">
        <w:rPr>
          <w:rFonts w:ascii="仿宋_GB2312" w:eastAsia="仿宋_GB2312" w:hAnsi="宋体" w:cs="宋体"/>
          <w:spacing w:val="-6"/>
          <w:kern w:val="0"/>
          <w:sz w:val="32"/>
          <w:szCs w:val="32"/>
        </w:rPr>
        <w:t>，</w:t>
      </w:r>
      <w:r w:rsidRPr="007C2E2B">
        <w:rPr>
          <w:rFonts w:ascii="仿宋_GB2312" w:eastAsia="仿宋_GB2312" w:hAnsi="宋体" w:cs="宋体" w:hint="eastAsia"/>
          <w:spacing w:val="-6"/>
          <w:kern w:val="0"/>
          <w:sz w:val="32"/>
          <w:szCs w:val="32"/>
        </w:rPr>
        <w:t>负责组织</w:t>
      </w:r>
      <w:r w:rsidRPr="007C2E2B">
        <w:rPr>
          <w:rFonts w:ascii="仿宋_GB2312" w:eastAsia="仿宋_GB2312" w:hAnsi="宋体" w:cs="宋体"/>
          <w:spacing w:val="-6"/>
          <w:kern w:val="0"/>
          <w:sz w:val="32"/>
          <w:szCs w:val="32"/>
        </w:rPr>
        <w:t>各</w:t>
      </w:r>
      <w:r w:rsidRPr="007C2E2B">
        <w:rPr>
          <w:rFonts w:ascii="仿宋_GB2312" w:eastAsia="仿宋_GB2312" w:hAnsi="宋体" w:cs="宋体" w:hint="eastAsia"/>
          <w:spacing w:val="-6"/>
          <w:kern w:val="0"/>
          <w:sz w:val="32"/>
          <w:szCs w:val="32"/>
        </w:rPr>
        <w:t>园区、镇</w:t>
      </w:r>
      <w:proofErr w:type="gramStart"/>
      <w:r w:rsidRPr="007C2E2B">
        <w:rPr>
          <w:rFonts w:ascii="仿宋_GB2312" w:eastAsia="仿宋_GB2312" w:hAnsi="宋体" w:cs="宋体" w:hint="eastAsia"/>
          <w:spacing w:val="-6"/>
          <w:kern w:val="0"/>
          <w:sz w:val="32"/>
          <w:szCs w:val="32"/>
        </w:rPr>
        <w:t>街相关</w:t>
      </w:r>
      <w:proofErr w:type="gramEnd"/>
      <w:r w:rsidRPr="007C2E2B">
        <w:rPr>
          <w:rFonts w:ascii="仿宋_GB2312" w:eastAsia="仿宋_GB2312" w:hAnsi="宋体" w:cs="宋体" w:hint="eastAsia"/>
          <w:spacing w:val="-6"/>
          <w:kern w:val="0"/>
          <w:sz w:val="32"/>
          <w:szCs w:val="32"/>
        </w:rPr>
        <w:lastRenderedPageBreak/>
        <w:t>部门加强城市道路和公路</w:t>
      </w:r>
      <w:r w:rsidRPr="007C2E2B">
        <w:rPr>
          <w:rFonts w:ascii="仿宋_GB2312" w:eastAsia="仿宋_GB2312" w:hAnsi="宋体" w:cs="宋体"/>
          <w:spacing w:val="-6"/>
          <w:kern w:val="0"/>
          <w:sz w:val="32"/>
          <w:szCs w:val="32"/>
        </w:rPr>
        <w:t>桥梁桥</w:t>
      </w:r>
      <w:proofErr w:type="gramStart"/>
      <w:r w:rsidRPr="007C2E2B">
        <w:rPr>
          <w:rFonts w:ascii="仿宋_GB2312" w:eastAsia="仿宋_GB2312" w:hAnsi="宋体" w:cs="宋体"/>
          <w:spacing w:val="-6"/>
          <w:kern w:val="0"/>
          <w:sz w:val="32"/>
          <w:szCs w:val="32"/>
        </w:rPr>
        <w:t>下空间</w:t>
      </w:r>
      <w:proofErr w:type="gramEnd"/>
      <w:r w:rsidRPr="007C2E2B">
        <w:rPr>
          <w:rFonts w:ascii="仿宋_GB2312" w:eastAsia="仿宋_GB2312" w:hAnsi="宋体" w:cs="宋体" w:hint="eastAsia"/>
          <w:spacing w:val="-6"/>
          <w:kern w:val="0"/>
          <w:sz w:val="32"/>
          <w:szCs w:val="32"/>
        </w:rPr>
        <w:t>利用</w:t>
      </w:r>
      <w:r w:rsidRPr="007C2E2B">
        <w:rPr>
          <w:rFonts w:ascii="仿宋_GB2312" w:eastAsia="仿宋_GB2312" w:hAnsi="宋体" w:cs="宋体"/>
          <w:spacing w:val="-6"/>
          <w:kern w:val="0"/>
          <w:sz w:val="32"/>
          <w:szCs w:val="32"/>
        </w:rPr>
        <w:t>管理的组织实施</w:t>
      </w:r>
      <w:r>
        <w:rPr>
          <w:rFonts w:ascii="仿宋_GB2312" w:eastAsia="仿宋_GB2312" w:hAnsi="宋体" w:cs="宋体" w:hint="eastAsia"/>
          <w:spacing w:val="-6"/>
          <w:kern w:val="0"/>
          <w:sz w:val="32"/>
          <w:szCs w:val="32"/>
        </w:rPr>
        <w:t>、</w:t>
      </w:r>
      <w:r w:rsidRPr="007C2E2B">
        <w:rPr>
          <w:rFonts w:ascii="仿宋_GB2312" w:eastAsia="仿宋_GB2312" w:hAnsi="宋体" w:cs="宋体" w:hint="eastAsia"/>
          <w:spacing w:val="-6"/>
          <w:kern w:val="0"/>
          <w:sz w:val="32"/>
          <w:szCs w:val="32"/>
        </w:rPr>
        <w:t>日常</w:t>
      </w:r>
      <w:r w:rsidRPr="007C2E2B">
        <w:rPr>
          <w:rFonts w:ascii="仿宋_GB2312" w:eastAsia="仿宋_GB2312" w:hAnsi="宋体" w:cs="宋体"/>
          <w:spacing w:val="-6"/>
          <w:kern w:val="0"/>
          <w:sz w:val="32"/>
          <w:szCs w:val="32"/>
        </w:rPr>
        <w:t>检查</w:t>
      </w:r>
      <w:r>
        <w:rPr>
          <w:rFonts w:ascii="仿宋_GB2312" w:eastAsia="仿宋_GB2312" w:hAnsi="宋体" w:cs="宋体" w:hint="eastAsia"/>
          <w:spacing w:val="-6"/>
          <w:kern w:val="0"/>
          <w:sz w:val="32"/>
          <w:szCs w:val="32"/>
        </w:rPr>
        <w:t>和监督执法</w:t>
      </w:r>
      <w:r w:rsidRPr="007C2E2B">
        <w:rPr>
          <w:rFonts w:ascii="仿宋_GB2312" w:eastAsia="仿宋_GB2312" w:hAnsi="宋体" w:cs="宋体"/>
          <w:spacing w:val="-6"/>
          <w:kern w:val="0"/>
          <w:sz w:val="32"/>
          <w:szCs w:val="32"/>
        </w:rPr>
        <w:t>工作</w:t>
      </w:r>
      <w:r w:rsidRPr="00F543F7">
        <w:rPr>
          <w:rStyle w:val="content1"/>
          <w:rFonts w:ascii="仿宋_GB2312" w:eastAsia="仿宋_GB2312" w:hAnsi="仿宋" w:hint="eastAsia"/>
          <w:sz w:val="32"/>
          <w:szCs w:val="32"/>
        </w:rPr>
        <w:t>；各有关部门按照各自职责，协助做好桥下空间的利用和管理，确保桥下空间的日常检查、维护以及监管能够落实到位。</w:t>
      </w:r>
    </w:p>
    <w:p w:rsidR="00DA1C71" w:rsidRDefault="00DA1C71" w:rsidP="00DA1C71">
      <w:pPr>
        <w:numPr>
          <w:ilvl w:val="0"/>
          <w:numId w:val="1"/>
        </w:numPr>
        <w:adjustRightInd w:val="0"/>
        <w:snapToGrid w:val="0"/>
        <w:spacing w:line="360" w:lineRule="auto"/>
        <w:rPr>
          <w:rFonts w:ascii="楷体_GB2312" w:eastAsia="楷体_GB2312" w:hAnsi="楷体"/>
          <w:sz w:val="32"/>
          <w:szCs w:val="32"/>
        </w:rPr>
      </w:pPr>
      <w:r>
        <w:rPr>
          <w:rFonts w:ascii="楷体_GB2312" w:eastAsia="楷体_GB2312" w:hAnsi="楷体" w:hint="eastAsia"/>
          <w:sz w:val="32"/>
          <w:szCs w:val="32"/>
        </w:rPr>
        <w:t>关于利用用途</w:t>
      </w:r>
    </w:p>
    <w:p w:rsidR="00DA1C71" w:rsidRDefault="00DA1C71" w:rsidP="00DA1C71">
      <w:pPr>
        <w:adjustRightInd w:val="0"/>
        <w:snapToGrid w:val="0"/>
        <w:spacing w:line="360" w:lineRule="auto"/>
        <w:ind w:firstLineChars="200" w:firstLine="640"/>
        <w:rPr>
          <w:rFonts w:ascii="仿宋_GB2312" w:eastAsia="仿宋_GB2312" w:hAnsi="宋体" w:cs="宋体" w:hint="eastAsia"/>
          <w:spacing w:val="-6"/>
          <w:kern w:val="0"/>
          <w:sz w:val="32"/>
          <w:szCs w:val="32"/>
        </w:rPr>
      </w:pPr>
      <w:r w:rsidRPr="00F543F7">
        <w:rPr>
          <w:rFonts w:ascii="楷体_GB2312" w:eastAsia="楷体_GB2312" w:hAnsi="楷体" w:hint="eastAsia"/>
          <w:sz w:val="32"/>
          <w:szCs w:val="32"/>
        </w:rPr>
        <w:t>明确</w:t>
      </w:r>
      <w:r>
        <w:rPr>
          <w:rFonts w:ascii="楷体_GB2312" w:eastAsia="楷体_GB2312" w:hAnsi="楷体" w:hint="eastAsia"/>
          <w:sz w:val="32"/>
          <w:szCs w:val="32"/>
        </w:rPr>
        <w:t>了</w:t>
      </w:r>
      <w:r w:rsidRPr="00B609CD">
        <w:rPr>
          <w:rFonts w:ascii="仿宋_GB2312" w:eastAsia="仿宋_GB2312" w:hAnsi="宋体" w:cs="宋体" w:hint="eastAsia"/>
          <w:spacing w:val="-6"/>
          <w:kern w:val="0"/>
          <w:sz w:val="32"/>
          <w:szCs w:val="32"/>
        </w:rPr>
        <w:t>桥下空间利用应当首先用于城市绿化建设，也可用于道路抢修、抢险和养护、维修材料、设施、设备停放；</w:t>
      </w:r>
      <w:r w:rsidRPr="00B45F8D">
        <w:rPr>
          <w:rFonts w:ascii="仿宋_GB2312" w:eastAsia="仿宋_GB2312" w:hAnsi="宋体" w:cs="宋体" w:hint="eastAsia"/>
          <w:spacing w:val="-6"/>
          <w:kern w:val="0"/>
          <w:sz w:val="32"/>
          <w:szCs w:val="32"/>
        </w:rPr>
        <w:t>临时汽车停车场、公交站（场）、出租车待客点、公共自行车站点</w:t>
      </w:r>
      <w:r w:rsidRPr="00B609CD">
        <w:rPr>
          <w:rFonts w:ascii="仿宋_GB2312" w:eastAsia="仿宋_GB2312" w:hAnsi="宋体" w:cs="宋体" w:hint="eastAsia"/>
          <w:spacing w:val="-6"/>
          <w:kern w:val="0"/>
          <w:sz w:val="32"/>
          <w:szCs w:val="32"/>
        </w:rPr>
        <w:t>等公共交通设施类利用。</w:t>
      </w:r>
      <w:r w:rsidRPr="00B45F8D">
        <w:rPr>
          <w:rFonts w:ascii="仿宋_GB2312" w:eastAsia="仿宋_GB2312" w:hAnsi="宋体" w:cs="宋体" w:hint="eastAsia"/>
          <w:spacing w:val="-6"/>
          <w:kern w:val="0"/>
          <w:sz w:val="32"/>
          <w:szCs w:val="32"/>
        </w:rPr>
        <w:t>原则上不得用于商业开发。</w:t>
      </w:r>
    </w:p>
    <w:p w:rsidR="00BA7C63" w:rsidRDefault="00BA7C63" w:rsidP="00BA7C63">
      <w:pPr>
        <w:adjustRightInd w:val="0"/>
        <w:snapToGrid w:val="0"/>
        <w:rPr>
          <w:rFonts w:ascii="仿宋_GB2312" w:eastAsia="仿宋_GB2312" w:hAnsi="宋体" w:cs="宋体"/>
          <w:spacing w:val="-6"/>
          <w:kern w:val="0"/>
          <w:sz w:val="32"/>
          <w:szCs w:val="32"/>
        </w:rPr>
      </w:pPr>
      <w:r>
        <w:rPr>
          <w:rFonts w:ascii="仿宋_GB2312" w:eastAsia="仿宋_GB2312" w:hAnsi="宋体" w:cs="宋体"/>
          <w:noProof/>
          <w:spacing w:val="-6"/>
          <w:kern w:val="0"/>
          <w:sz w:val="32"/>
          <w:szCs w:val="32"/>
        </w:rPr>
        <w:drawing>
          <wp:inline distT="0" distB="0" distL="0" distR="0">
            <wp:extent cx="5274310" cy="2930821"/>
            <wp:effectExtent l="19050" t="0" r="2540" b="0"/>
            <wp:docPr id="1" name="图片 1" descr="C:\Users\ADMINI~1\AppData\Local\Temp\WeChat Files\de31ed9cf02071b66cb10b316405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de31ed9cf02071b66cb10b316405496.png"/>
                    <pic:cNvPicPr>
                      <a:picLocks noChangeAspect="1" noChangeArrowheads="1"/>
                    </pic:cNvPicPr>
                  </pic:nvPicPr>
                  <pic:blipFill>
                    <a:blip r:embed="rId8" cstate="print"/>
                    <a:srcRect/>
                    <a:stretch>
                      <a:fillRect/>
                    </a:stretch>
                  </pic:blipFill>
                  <pic:spPr bwMode="auto">
                    <a:xfrm>
                      <a:off x="0" y="0"/>
                      <a:ext cx="5274310" cy="2930821"/>
                    </a:xfrm>
                    <a:prstGeom prst="rect">
                      <a:avLst/>
                    </a:prstGeom>
                    <a:noFill/>
                    <a:ln w="9525">
                      <a:noFill/>
                      <a:miter lim="800000"/>
                      <a:headEnd/>
                      <a:tailEnd/>
                    </a:ln>
                  </pic:spPr>
                </pic:pic>
              </a:graphicData>
            </a:graphic>
          </wp:inline>
        </w:drawing>
      </w:r>
    </w:p>
    <w:p w:rsidR="00DA1C71" w:rsidRPr="00CC738B" w:rsidRDefault="00DA1C71" w:rsidP="00DA1C71">
      <w:pPr>
        <w:numPr>
          <w:ilvl w:val="0"/>
          <w:numId w:val="1"/>
        </w:numPr>
        <w:adjustRightInd w:val="0"/>
        <w:snapToGrid w:val="0"/>
        <w:spacing w:line="360" w:lineRule="auto"/>
        <w:rPr>
          <w:rFonts w:ascii="楷体_GB2312" w:eastAsia="楷体_GB2312" w:hAnsi="楷体"/>
          <w:sz w:val="32"/>
          <w:szCs w:val="32"/>
        </w:rPr>
      </w:pPr>
      <w:r w:rsidRPr="00CC738B">
        <w:rPr>
          <w:rFonts w:ascii="楷体_GB2312" w:eastAsia="楷体_GB2312" w:hAnsi="楷体" w:hint="eastAsia"/>
          <w:sz w:val="32"/>
          <w:szCs w:val="32"/>
        </w:rPr>
        <w:t>关于办理程序</w:t>
      </w:r>
    </w:p>
    <w:p w:rsidR="00DA1C71" w:rsidRPr="00CC738B" w:rsidRDefault="00DA1C71" w:rsidP="00DA1C71">
      <w:pPr>
        <w:adjustRightInd w:val="0"/>
        <w:snapToGrid w:val="0"/>
        <w:spacing w:line="360" w:lineRule="auto"/>
        <w:ind w:firstLineChars="200" w:firstLine="616"/>
        <w:rPr>
          <w:rFonts w:ascii="仿宋_GB2312" w:eastAsia="仿宋_GB2312" w:hAnsi="宋体" w:cs="宋体"/>
          <w:spacing w:val="-6"/>
          <w:kern w:val="0"/>
          <w:sz w:val="32"/>
          <w:szCs w:val="32"/>
        </w:rPr>
      </w:pPr>
      <w:r w:rsidRPr="00CC738B">
        <w:rPr>
          <w:rFonts w:ascii="仿宋_GB2312" w:eastAsia="仿宋_GB2312" w:hAnsi="宋体" w:cs="宋体" w:hint="eastAsia"/>
          <w:spacing w:val="-6"/>
          <w:kern w:val="0"/>
          <w:sz w:val="32"/>
          <w:szCs w:val="32"/>
        </w:rPr>
        <w:t>明确了利用桥下空间的使用者必须在符合安全和政府规划的前提下，提供利用的具体设置方案、维护管理方案、安全抢险应急方案、安全评价报告等，经属地镇街（园区）同意后，与桥梁管养单位或经营管理单位签订桥梁安全保护协议才能实施。</w:t>
      </w:r>
    </w:p>
    <w:p w:rsidR="00DA1C71" w:rsidRPr="00CC738B" w:rsidRDefault="00DA1C71" w:rsidP="00DA1C71">
      <w:pPr>
        <w:numPr>
          <w:ilvl w:val="0"/>
          <w:numId w:val="1"/>
        </w:numPr>
        <w:adjustRightInd w:val="0"/>
        <w:snapToGrid w:val="0"/>
        <w:spacing w:line="360" w:lineRule="auto"/>
        <w:rPr>
          <w:rFonts w:ascii="楷体_GB2312" w:eastAsia="楷体_GB2312" w:hAnsi="楷体"/>
          <w:sz w:val="32"/>
          <w:szCs w:val="32"/>
        </w:rPr>
      </w:pPr>
      <w:r w:rsidRPr="00CC738B">
        <w:rPr>
          <w:rFonts w:ascii="楷体_GB2312" w:eastAsia="楷体_GB2312" w:hAnsi="楷体" w:hint="eastAsia"/>
          <w:sz w:val="32"/>
          <w:szCs w:val="32"/>
        </w:rPr>
        <w:lastRenderedPageBreak/>
        <w:t>关于禁止行为</w:t>
      </w:r>
    </w:p>
    <w:p w:rsidR="00DA1C71" w:rsidRPr="00CC738B" w:rsidRDefault="00DA1C71" w:rsidP="00DA1C71">
      <w:pPr>
        <w:adjustRightInd w:val="0"/>
        <w:snapToGrid w:val="0"/>
        <w:spacing w:line="360" w:lineRule="auto"/>
        <w:ind w:firstLineChars="200" w:firstLine="616"/>
        <w:rPr>
          <w:rFonts w:ascii="仿宋_GB2312" w:eastAsia="仿宋_GB2312" w:hAnsi="宋体" w:cs="宋体"/>
          <w:spacing w:val="-6"/>
          <w:kern w:val="0"/>
          <w:sz w:val="32"/>
          <w:szCs w:val="32"/>
        </w:rPr>
      </w:pPr>
      <w:r w:rsidRPr="00CC738B">
        <w:rPr>
          <w:rFonts w:ascii="仿宋_GB2312" w:eastAsia="仿宋_GB2312" w:hAnsi="宋体" w:cs="宋体" w:hint="eastAsia"/>
          <w:spacing w:val="-6"/>
          <w:kern w:val="0"/>
          <w:sz w:val="32"/>
          <w:szCs w:val="32"/>
        </w:rPr>
        <w:t>为保护道路桥梁安全</w:t>
      </w:r>
      <w:r w:rsidRPr="00CC738B">
        <w:rPr>
          <w:rStyle w:val="content1"/>
          <w:rFonts w:ascii="仿宋_GB2312" w:eastAsia="仿宋_GB2312" w:hAnsi="仿宋" w:hint="eastAsia"/>
          <w:sz w:val="32"/>
          <w:szCs w:val="32"/>
        </w:rPr>
        <w:t>和桥下空间利用安全，明确</w:t>
      </w:r>
      <w:r w:rsidRPr="00CC738B">
        <w:rPr>
          <w:rFonts w:ascii="仿宋_GB2312" w:eastAsia="仿宋_GB2312" w:hAnsi="宋体" w:cs="宋体" w:hint="eastAsia"/>
          <w:spacing w:val="-6"/>
          <w:kern w:val="0"/>
          <w:sz w:val="32"/>
          <w:szCs w:val="32"/>
        </w:rPr>
        <w:t>桥下空间范围内禁止下列行为：</w:t>
      </w:r>
    </w:p>
    <w:p w:rsidR="00DA1C71" w:rsidRPr="00CC738B" w:rsidRDefault="00DA1C71" w:rsidP="00DA1C71">
      <w:pPr>
        <w:widowControl/>
        <w:shd w:val="clear" w:color="auto" w:fill="FFFFFF"/>
        <w:adjustRightInd w:val="0"/>
        <w:snapToGrid w:val="0"/>
        <w:spacing w:line="360" w:lineRule="auto"/>
        <w:ind w:firstLine="641"/>
        <w:jc w:val="left"/>
        <w:rPr>
          <w:rFonts w:ascii="仿宋_GB2312" w:eastAsia="仿宋_GB2312" w:hAnsi="宋体" w:cs="宋体"/>
          <w:spacing w:val="-6"/>
          <w:kern w:val="0"/>
          <w:sz w:val="24"/>
        </w:rPr>
      </w:pPr>
      <w:r w:rsidRPr="00CC738B">
        <w:rPr>
          <w:rFonts w:ascii="仿宋_GB2312" w:eastAsia="仿宋_GB2312" w:hAnsi="宋体" w:cs="宋体" w:hint="eastAsia"/>
          <w:spacing w:val="-6"/>
          <w:kern w:val="0"/>
          <w:sz w:val="32"/>
          <w:szCs w:val="32"/>
        </w:rPr>
        <w:t>（一）设立生产、储存、销售易燃、易爆、剧毒、放射性等危险物品场所、设施，或者停（堆）放、装（卸）</w:t>
      </w:r>
      <w:proofErr w:type="gramStart"/>
      <w:r w:rsidRPr="00CC738B">
        <w:rPr>
          <w:rFonts w:ascii="仿宋_GB2312" w:eastAsia="仿宋_GB2312" w:hAnsi="宋体" w:cs="宋体" w:hint="eastAsia"/>
          <w:spacing w:val="-6"/>
          <w:kern w:val="0"/>
          <w:sz w:val="32"/>
          <w:szCs w:val="32"/>
        </w:rPr>
        <w:t>载危险</w:t>
      </w:r>
      <w:proofErr w:type="gramEnd"/>
      <w:r w:rsidRPr="00CC738B">
        <w:rPr>
          <w:rFonts w:ascii="仿宋_GB2312" w:eastAsia="仿宋_GB2312" w:hAnsi="宋体" w:cs="宋体" w:hint="eastAsia"/>
          <w:spacing w:val="-6"/>
          <w:kern w:val="0"/>
          <w:sz w:val="32"/>
          <w:szCs w:val="32"/>
        </w:rPr>
        <w:t>物品。</w:t>
      </w:r>
    </w:p>
    <w:p w:rsidR="00DA1C71" w:rsidRPr="00CC738B" w:rsidRDefault="00DA1C71" w:rsidP="00DA1C71">
      <w:pPr>
        <w:widowControl/>
        <w:shd w:val="clear" w:color="auto" w:fill="FFFFFF"/>
        <w:adjustRightInd w:val="0"/>
        <w:snapToGrid w:val="0"/>
        <w:spacing w:line="360" w:lineRule="auto"/>
        <w:ind w:firstLine="641"/>
        <w:jc w:val="left"/>
        <w:rPr>
          <w:rFonts w:ascii="仿宋_GB2312" w:eastAsia="仿宋_GB2312" w:hAnsi="宋体" w:cs="宋体"/>
          <w:spacing w:val="-6"/>
          <w:kern w:val="0"/>
          <w:sz w:val="24"/>
        </w:rPr>
      </w:pPr>
      <w:r w:rsidRPr="00CC738B">
        <w:rPr>
          <w:rFonts w:ascii="仿宋_GB2312" w:eastAsia="仿宋_GB2312" w:hAnsi="宋体" w:cs="宋体" w:hint="eastAsia"/>
          <w:spacing w:val="-6"/>
          <w:kern w:val="0"/>
          <w:sz w:val="32"/>
          <w:szCs w:val="32"/>
        </w:rPr>
        <w:t>（二）设立洗车、修车、加油、商业、餐饮、娱乐、集贸市场等各种经营场所、设施。</w:t>
      </w:r>
    </w:p>
    <w:p w:rsidR="00DA1C71" w:rsidRPr="00CC738B" w:rsidRDefault="00DA1C71" w:rsidP="00DA1C71">
      <w:pPr>
        <w:widowControl/>
        <w:shd w:val="clear" w:color="auto" w:fill="FFFFFF"/>
        <w:adjustRightInd w:val="0"/>
        <w:snapToGrid w:val="0"/>
        <w:spacing w:line="360" w:lineRule="auto"/>
        <w:ind w:firstLine="641"/>
        <w:jc w:val="left"/>
        <w:rPr>
          <w:rFonts w:ascii="仿宋_GB2312" w:eastAsia="仿宋_GB2312" w:hAnsi="宋体" w:cs="宋体"/>
          <w:spacing w:val="-6"/>
          <w:kern w:val="0"/>
          <w:sz w:val="24"/>
        </w:rPr>
      </w:pPr>
      <w:r w:rsidRPr="00CC738B">
        <w:rPr>
          <w:rFonts w:ascii="仿宋_GB2312" w:eastAsia="仿宋_GB2312" w:hAnsi="宋体" w:cs="宋体" w:hint="eastAsia"/>
          <w:spacing w:val="-6"/>
          <w:kern w:val="0"/>
          <w:sz w:val="32"/>
          <w:szCs w:val="32"/>
        </w:rPr>
        <w:t>（三）用于生产、生活、居住或者使用燃气、电炉及明火。</w:t>
      </w:r>
    </w:p>
    <w:p w:rsidR="00DA1C71" w:rsidRPr="00CC738B" w:rsidRDefault="00DA1C71" w:rsidP="00DA1C71">
      <w:pPr>
        <w:widowControl/>
        <w:shd w:val="clear" w:color="auto" w:fill="FFFFFF"/>
        <w:adjustRightInd w:val="0"/>
        <w:snapToGrid w:val="0"/>
        <w:spacing w:line="360" w:lineRule="auto"/>
        <w:ind w:firstLine="641"/>
        <w:jc w:val="left"/>
        <w:rPr>
          <w:rFonts w:ascii="仿宋_GB2312" w:eastAsia="仿宋_GB2312" w:hAnsi="宋体" w:cs="宋体"/>
          <w:spacing w:val="-6"/>
          <w:kern w:val="0"/>
          <w:sz w:val="24"/>
        </w:rPr>
      </w:pPr>
      <w:r w:rsidRPr="00CC738B">
        <w:rPr>
          <w:rFonts w:ascii="仿宋_GB2312" w:eastAsia="仿宋_GB2312" w:hAnsi="宋体" w:cs="宋体" w:hint="eastAsia"/>
          <w:spacing w:val="-6"/>
          <w:kern w:val="0"/>
          <w:sz w:val="32"/>
          <w:szCs w:val="32"/>
        </w:rPr>
        <w:t>（四）擅自对交通安全、通讯、监控、收费、供电、防护构筑物、上下水、管理用房等桥梁附属设施设备进行拆改或者填塞，损坏排水管（沟），以及其他任何有损桥梁附属设施设备的行为。</w:t>
      </w:r>
    </w:p>
    <w:p w:rsidR="00DA1C71" w:rsidRPr="00CC738B" w:rsidRDefault="00DA1C71" w:rsidP="00DA1C71">
      <w:pPr>
        <w:widowControl/>
        <w:shd w:val="clear" w:color="auto" w:fill="FFFFFF"/>
        <w:adjustRightInd w:val="0"/>
        <w:snapToGrid w:val="0"/>
        <w:spacing w:line="360" w:lineRule="auto"/>
        <w:ind w:firstLine="641"/>
        <w:jc w:val="left"/>
        <w:rPr>
          <w:rFonts w:ascii="仿宋_GB2312" w:eastAsia="仿宋_GB2312" w:hAnsi="宋体" w:cs="宋体"/>
          <w:spacing w:val="-6"/>
          <w:kern w:val="0"/>
          <w:sz w:val="24"/>
        </w:rPr>
      </w:pPr>
      <w:r w:rsidRPr="00CC738B">
        <w:rPr>
          <w:rFonts w:ascii="仿宋_GB2312" w:eastAsia="仿宋_GB2312" w:hAnsi="宋体" w:cs="宋体" w:hint="eastAsia"/>
          <w:spacing w:val="-6"/>
          <w:kern w:val="0"/>
          <w:sz w:val="32"/>
          <w:szCs w:val="32"/>
        </w:rPr>
        <w:t>（五）损坏、骑压、占用各类地下管线及相关设施和附属物。</w:t>
      </w:r>
    </w:p>
    <w:p w:rsidR="00DA1C71" w:rsidRPr="00CC738B" w:rsidRDefault="00DA1C71" w:rsidP="00DA1C71">
      <w:pPr>
        <w:widowControl/>
        <w:shd w:val="clear" w:color="auto" w:fill="FFFFFF"/>
        <w:adjustRightInd w:val="0"/>
        <w:snapToGrid w:val="0"/>
        <w:spacing w:line="360" w:lineRule="auto"/>
        <w:ind w:firstLine="641"/>
        <w:jc w:val="left"/>
        <w:rPr>
          <w:rFonts w:ascii="仿宋_GB2312" w:eastAsia="仿宋_GB2312" w:hAnsi="宋体" w:cs="宋体"/>
          <w:spacing w:val="-6"/>
          <w:kern w:val="0"/>
          <w:sz w:val="24"/>
        </w:rPr>
      </w:pPr>
      <w:r w:rsidRPr="00CC738B">
        <w:rPr>
          <w:rFonts w:ascii="仿宋_GB2312" w:eastAsia="仿宋_GB2312" w:hAnsi="宋体" w:cs="宋体" w:hint="eastAsia"/>
          <w:spacing w:val="-6"/>
          <w:kern w:val="0"/>
          <w:sz w:val="32"/>
          <w:szCs w:val="32"/>
        </w:rPr>
        <w:t>（六）乱搭建、乱开挖、乱堆倒、乱涂贴、乱摆卖等。</w:t>
      </w:r>
    </w:p>
    <w:p w:rsidR="00DA1C71" w:rsidRPr="00CC738B" w:rsidRDefault="00DA1C71" w:rsidP="00DA1C71">
      <w:pPr>
        <w:widowControl/>
        <w:shd w:val="clear" w:color="auto" w:fill="FFFFFF"/>
        <w:adjustRightInd w:val="0"/>
        <w:snapToGrid w:val="0"/>
        <w:spacing w:line="360" w:lineRule="auto"/>
        <w:ind w:firstLine="641"/>
        <w:jc w:val="left"/>
        <w:rPr>
          <w:rFonts w:ascii="仿宋_GB2312" w:eastAsia="仿宋_GB2312" w:hAnsi="宋体" w:cs="宋体"/>
          <w:spacing w:val="-6"/>
          <w:kern w:val="0"/>
          <w:sz w:val="24"/>
        </w:rPr>
      </w:pPr>
      <w:r w:rsidRPr="00CC738B">
        <w:rPr>
          <w:rFonts w:ascii="仿宋_GB2312" w:eastAsia="仿宋_GB2312" w:hAnsi="宋体" w:cs="宋体" w:hint="eastAsia"/>
          <w:spacing w:val="-6"/>
          <w:kern w:val="0"/>
          <w:sz w:val="32"/>
          <w:szCs w:val="32"/>
        </w:rPr>
        <w:t>（七）法律、法规、规章和规范性文件等禁止的其他行为。</w:t>
      </w:r>
    </w:p>
    <w:p w:rsidR="00DA1C71" w:rsidRDefault="00DA1C71" w:rsidP="00DA1C71">
      <w:pPr>
        <w:adjustRightInd w:val="0"/>
        <w:snapToGrid w:val="0"/>
        <w:spacing w:line="360" w:lineRule="auto"/>
        <w:ind w:firstLineChars="200" w:firstLine="640"/>
        <w:rPr>
          <w:rFonts w:ascii="黑体" w:eastAsia="黑体" w:hAnsi="黑体" w:cs="黑体"/>
          <w:sz w:val="32"/>
          <w:szCs w:val="32"/>
        </w:rPr>
      </w:pPr>
      <w:r>
        <w:rPr>
          <w:rFonts w:ascii="黑体" w:eastAsia="黑体" w:hAnsi="黑体" w:cs="黑体" w:hint="eastAsia"/>
          <w:sz w:val="32"/>
          <w:szCs w:val="32"/>
        </w:rPr>
        <w:t>四、主要依据</w:t>
      </w:r>
    </w:p>
    <w:p w:rsidR="00DA1C71" w:rsidRDefault="00DA1C71" w:rsidP="00DA1C71">
      <w:pPr>
        <w:adjustRightInd w:val="0"/>
        <w:snapToGrid w:val="0"/>
        <w:spacing w:line="360" w:lineRule="auto"/>
        <w:ind w:firstLineChars="200" w:firstLine="640"/>
        <w:rPr>
          <w:rFonts w:ascii="仿宋_GB2312" w:eastAsia="仿宋_GB2312" w:hAnsi="仿宋"/>
          <w:sz w:val="32"/>
          <w:szCs w:val="32"/>
        </w:rPr>
      </w:pPr>
      <w:r>
        <w:rPr>
          <w:rFonts w:ascii="仿宋_GB2312" w:eastAsia="仿宋_GB2312" w:hAnsi="仿宋_GB2312" w:cs="仿宋_GB2312" w:hint="eastAsia"/>
          <w:sz w:val="32"/>
          <w:szCs w:val="32"/>
        </w:rPr>
        <w:t>（一）</w:t>
      </w:r>
      <w:r w:rsidRPr="00F543F7">
        <w:rPr>
          <w:rFonts w:ascii="仿宋_GB2312" w:eastAsia="仿宋_GB2312" w:hAnsi="仿宋" w:hint="eastAsia"/>
          <w:sz w:val="32"/>
          <w:szCs w:val="32"/>
        </w:rPr>
        <w:t>《中华人民共和国公路法》</w:t>
      </w:r>
    </w:p>
    <w:p w:rsidR="00DA1C71" w:rsidRDefault="00DA1C71" w:rsidP="00DA1C71">
      <w:pPr>
        <w:adjustRightInd w:val="0"/>
        <w:snapToGrid w:val="0"/>
        <w:spacing w:line="360" w:lineRule="auto"/>
        <w:ind w:firstLineChars="200" w:firstLine="640"/>
        <w:rPr>
          <w:rFonts w:ascii="仿宋_GB2312" w:eastAsia="仿宋_GB2312" w:hAnsi="仿宋"/>
          <w:sz w:val="32"/>
          <w:szCs w:val="32"/>
        </w:rPr>
      </w:pPr>
      <w:r>
        <w:rPr>
          <w:rFonts w:ascii="仿宋_GB2312" w:eastAsia="仿宋_GB2312" w:hAnsi="仿宋" w:hint="eastAsia"/>
          <w:sz w:val="32"/>
          <w:szCs w:val="32"/>
        </w:rPr>
        <w:t>（二）</w:t>
      </w:r>
      <w:r w:rsidRPr="00F543F7">
        <w:rPr>
          <w:rFonts w:ascii="仿宋_GB2312" w:eastAsia="仿宋_GB2312" w:hAnsi="仿宋" w:hint="eastAsia"/>
          <w:sz w:val="32"/>
          <w:szCs w:val="32"/>
        </w:rPr>
        <w:t>《公路安全保护条例》</w:t>
      </w:r>
    </w:p>
    <w:p w:rsidR="00DA1C71" w:rsidRDefault="00DA1C71" w:rsidP="00DA1C71">
      <w:pPr>
        <w:adjustRightInd w:val="0"/>
        <w:snapToGrid w:val="0"/>
        <w:spacing w:line="360" w:lineRule="auto"/>
        <w:ind w:firstLineChars="200" w:firstLine="640"/>
        <w:rPr>
          <w:rFonts w:ascii="仿宋_GB2312" w:eastAsia="仿宋_GB2312" w:hAnsi="仿宋"/>
          <w:sz w:val="32"/>
          <w:szCs w:val="32"/>
        </w:rPr>
      </w:pPr>
      <w:r>
        <w:rPr>
          <w:rFonts w:ascii="仿宋_GB2312" w:eastAsia="仿宋_GB2312" w:hAnsi="仿宋" w:hint="eastAsia"/>
          <w:sz w:val="32"/>
          <w:szCs w:val="32"/>
        </w:rPr>
        <w:t>（三）</w:t>
      </w:r>
      <w:r w:rsidRPr="00F543F7">
        <w:rPr>
          <w:rFonts w:ascii="仿宋_GB2312" w:eastAsia="仿宋_GB2312" w:hAnsi="仿宋" w:hint="eastAsia"/>
          <w:sz w:val="32"/>
          <w:szCs w:val="32"/>
        </w:rPr>
        <w:t>《城市道路管理条例》（国务院令第198号）</w:t>
      </w:r>
    </w:p>
    <w:p w:rsidR="00DA1C71" w:rsidRDefault="00DA1C71" w:rsidP="00DA1C71">
      <w:pPr>
        <w:adjustRightInd w:val="0"/>
        <w:snapToGrid w:val="0"/>
        <w:spacing w:line="360" w:lineRule="auto"/>
        <w:ind w:firstLineChars="200" w:firstLine="640"/>
        <w:rPr>
          <w:rFonts w:ascii="仿宋_GB2312" w:eastAsia="仿宋_GB2312" w:hAnsi="仿宋_GB2312" w:cs="仿宋_GB2312"/>
          <w:sz w:val="32"/>
          <w:szCs w:val="32"/>
        </w:rPr>
      </w:pPr>
      <w:r>
        <w:rPr>
          <w:rFonts w:ascii="仿宋_GB2312" w:eastAsia="仿宋_GB2312" w:hAnsi="仿宋" w:hint="eastAsia"/>
          <w:sz w:val="32"/>
          <w:szCs w:val="32"/>
        </w:rPr>
        <w:t>（四）</w:t>
      </w:r>
      <w:r w:rsidRPr="00F543F7">
        <w:rPr>
          <w:rFonts w:ascii="仿宋_GB2312" w:eastAsia="仿宋_GB2312" w:hAnsi="仿宋" w:hint="eastAsia"/>
          <w:sz w:val="32"/>
          <w:szCs w:val="32"/>
        </w:rPr>
        <w:t>《城市桥梁检测和养护维修管理办法》（建设部令</w:t>
      </w:r>
      <w:r w:rsidRPr="00F543F7">
        <w:rPr>
          <w:rFonts w:ascii="仿宋_GB2312" w:eastAsia="仿宋_GB2312" w:hAnsi="仿宋" w:hint="eastAsia"/>
          <w:sz w:val="32"/>
          <w:szCs w:val="32"/>
        </w:rPr>
        <w:lastRenderedPageBreak/>
        <w:t>第118号）</w:t>
      </w:r>
    </w:p>
    <w:p w:rsidR="00DA1C71" w:rsidRDefault="00DA1C71" w:rsidP="00DA1C71">
      <w:pPr>
        <w:adjustRightInd w:val="0"/>
        <w:snapToGrid w:val="0"/>
        <w:spacing w:line="360" w:lineRule="auto"/>
        <w:rPr>
          <w:rFonts w:ascii="仿宋_GB2312" w:eastAsia="仿宋_GB2312" w:hAnsi="仿宋_GB2312" w:cs="仿宋_GB2312"/>
          <w:sz w:val="32"/>
          <w:szCs w:val="32"/>
        </w:rPr>
      </w:pPr>
    </w:p>
    <w:p w:rsidR="00D26DE6" w:rsidRPr="00DA1C71" w:rsidRDefault="00D26DE6"/>
    <w:sectPr w:rsidR="00D26DE6" w:rsidRPr="00DA1C71" w:rsidSect="00D2617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33A3" w:rsidRDefault="007533A3" w:rsidP="0096756B">
      <w:r>
        <w:separator/>
      </w:r>
    </w:p>
  </w:endnote>
  <w:endnote w:type="continuationSeparator" w:id="0">
    <w:p w:rsidR="007533A3" w:rsidRDefault="007533A3" w:rsidP="009675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33A3" w:rsidRDefault="007533A3" w:rsidP="0096756B">
      <w:r>
        <w:separator/>
      </w:r>
    </w:p>
  </w:footnote>
  <w:footnote w:type="continuationSeparator" w:id="0">
    <w:p w:rsidR="007533A3" w:rsidRDefault="007533A3" w:rsidP="0096756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5F26DD"/>
    <w:multiLevelType w:val="hybridMultilevel"/>
    <w:tmpl w:val="774CFF84"/>
    <w:lvl w:ilvl="0" w:tplc="5C28D874">
      <w:start w:val="1"/>
      <w:numFmt w:val="japaneseCounting"/>
      <w:lvlText w:val="（%1）"/>
      <w:lvlJc w:val="left"/>
      <w:pPr>
        <w:ind w:left="1647" w:hanging="1080"/>
      </w:pPr>
      <w:rPr>
        <w:rFonts w:hint="default"/>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A1C71"/>
    <w:rsid w:val="00001FCF"/>
    <w:rsid w:val="003F1378"/>
    <w:rsid w:val="007533A3"/>
    <w:rsid w:val="0096756B"/>
    <w:rsid w:val="00BA7C63"/>
    <w:rsid w:val="00D26175"/>
    <w:rsid w:val="00D26DE6"/>
    <w:rsid w:val="00DA1C71"/>
    <w:rsid w:val="00E27F3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1C71"/>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ntent1">
    <w:name w:val="content1"/>
    <w:rsid w:val="00DA1C71"/>
    <w:rPr>
      <w:sz w:val="18"/>
      <w:szCs w:val="18"/>
    </w:rPr>
  </w:style>
  <w:style w:type="paragraph" w:styleId="a3">
    <w:name w:val="header"/>
    <w:basedOn w:val="a"/>
    <w:link w:val="Char"/>
    <w:uiPriority w:val="99"/>
    <w:semiHidden/>
    <w:unhideWhenUsed/>
    <w:rsid w:val="0096756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96756B"/>
    <w:rPr>
      <w:rFonts w:ascii="Times New Roman" w:eastAsia="宋体" w:hAnsi="Times New Roman" w:cs="Times New Roman"/>
      <w:sz w:val="18"/>
      <w:szCs w:val="18"/>
    </w:rPr>
  </w:style>
  <w:style w:type="paragraph" w:styleId="a4">
    <w:name w:val="footer"/>
    <w:basedOn w:val="a"/>
    <w:link w:val="Char0"/>
    <w:uiPriority w:val="99"/>
    <w:semiHidden/>
    <w:unhideWhenUsed/>
    <w:rsid w:val="0096756B"/>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96756B"/>
    <w:rPr>
      <w:rFonts w:ascii="Times New Roman" w:eastAsia="宋体" w:hAnsi="Times New Roman" w:cs="Times New Roman"/>
      <w:sz w:val="18"/>
      <w:szCs w:val="18"/>
    </w:rPr>
  </w:style>
  <w:style w:type="paragraph" w:styleId="a5">
    <w:name w:val="Balloon Text"/>
    <w:basedOn w:val="a"/>
    <w:link w:val="Char1"/>
    <w:uiPriority w:val="99"/>
    <w:semiHidden/>
    <w:unhideWhenUsed/>
    <w:rsid w:val="00BA7C63"/>
    <w:rPr>
      <w:sz w:val="18"/>
      <w:szCs w:val="18"/>
    </w:rPr>
  </w:style>
  <w:style w:type="character" w:customStyle="1" w:styleId="Char1">
    <w:name w:val="批注框文本 Char"/>
    <w:basedOn w:val="a0"/>
    <w:link w:val="a5"/>
    <w:uiPriority w:val="99"/>
    <w:semiHidden/>
    <w:rsid w:val="00BA7C63"/>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1C71"/>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ntent1">
    <w:name w:val="content1"/>
    <w:rsid w:val="00DA1C71"/>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235</Words>
  <Characters>1345</Characters>
  <Application>Microsoft Office Word</Application>
  <DocSecurity>0</DocSecurity>
  <Lines>11</Lines>
  <Paragraphs>3</Paragraphs>
  <ScaleCrop>false</ScaleCrop>
  <Company>Microsoft</Company>
  <LinksUpToDate>false</LinksUpToDate>
  <CharactersWithSpaces>1577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HXUser</cp:lastModifiedBy>
  <cp:revision>4</cp:revision>
  <dcterms:created xsi:type="dcterms:W3CDTF">2020-03-05T07:49:00Z</dcterms:created>
  <dcterms:modified xsi:type="dcterms:W3CDTF">2021-01-07T06:00:00Z</dcterms:modified>
</cp:coreProperties>
</file>