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4CE9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国标小标宋" w:hAnsi="国标小标宋" w:eastAsia="国标小标宋" w:cs="国标小标宋"/>
          <w:b w:val="0"/>
          <w:bCs/>
          <w:color w:val="auto"/>
          <w:sz w:val="44"/>
          <w:szCs w:val="44"/>
        </w:rPr>
      </w:pPr>
      <w:r>
        <w:rPr>
          <w:rFonts w:hint="eastAsia" w:ascii="国标小标宋" w:hAnsi="国标小标宋" w:eastAsia="国标小标宋" w:cs="国标小标宋"/>
          <w:b w:val="0"/>
          <w:bCs/>
          <w:color w:val="auto"/>
          <w:sz w:val="44"/>
          <w:szCs w:val="44"/>
        </w:rPr>
        <w:t>东莞市公路货运统计分析及发展对策研究项目</w:t>
      </w:r>
    </w:p>
    <w:p w14:paraId="7D95953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国标小标宋" w:hAnsi="国标小标宋" w:eastAsia="国标小标宋" w:cs="国标小标宋"/>
          <w:b w:val="0"/>
          <w:bCs/>
          <w:color w:val="auto"/>
          <w:sz w:val="44"/>
          <w:szCs w:val="44"/>
        </w:rPr>
      </w:pPr>
      <w:r>
        <w:rPr>
          <w:rFonts w:hint="eastAsia" w:ascii="国标小标宋" w:hAnsi="国标小标宋" w:eastAsia="国标小标宋" w:cs="国标小标宋"/>
          <w:b w:val="0"/>
          <w:bCs/>
          <w:color w:val="auto"/>
          <w:sz w:val="44"/>
          <w:szCs w:val="44"/>
        </w:rPr>
        <w:t>采购需求书</w:t>
      </w:r>
    </w:p>
    <w:p w14:paraId="02F8A5C1">
      <w:pPr>
        <w:spacing w:after="80" w:line="360" w:lineRule="auto"/>
      </w:pPr>
    </w:p>
    <w:p w14:paraId="1D7B9C7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一、项目基本情况</w:t>
      </w:r>
    </w:p>
    <w:p w14:paraId="6659AD4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公路货运</w:t>
      </w:r>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是反映区域经济活跃度、产业链供应链运行效率和城市交通组织水平的重要指标。东莞制造业基础雄厚，主要镇街产业分布密集，跨主要镇街、跨市域货运联系频繁。为系统</w:t>
      </w:r>
      <w:r>
        <w:rPr>
          <w:rFonts w:hint="eastAsia" w:ascii="仿宋_GB2312" w:hAnsi="仿宋_GB2312" w:eastAsia="仿宋_GB2312" w:cs="仿宋_GB2312"/>
          <w:sz w:val="32"/>
          <w:szCs w:val="32"/>
          <w:lang w:eastAsia="zh-CN"/>
        </w:rPr>
        <w:t>研究和</w:t>
      </w:r>
      <w:r>
        <w:rPr>
          <w:rFonts w:hint="eastAsia" w:ascii="仿宋_GB2312" w:hAnsi="仿宋_GB2312" w:eastAsia="仿宋_GB2312" w:cs="仿宋_GB2312"/>
          <w:sz w:val="32"/>
          <w:szCs w:val="32"/>
        </w:rPr>
        <w:t>掌握东莞公路货运运行态势、空间联系格局和时段波动特征，提升行业管理、交通组织、通道优化和政策制定的科学性，拟开展东莞市公路货运统计分析及发展对策研究</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w:t>
      </w:r>
    </w:p>
    <w:p w14:paraId="2C9322F6">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本项目以</w:t>
      </w:r>
      <w:r>
        <w:rPr>
          <w:rFonts w:hint="eastAsia" w:ascii="仿宋_GB2312" w:hAnsi="仿宋_GB2312" w:eastAsia="仿宋_GB2312" w:cs="仿宋_GB2312"/>
          <w:sz w:val="32"/>
          <w:szCs w:val="32"/>
          <w:lang w:eastAsia="zh-CN"/>
        </w:rPr>
        <w:t>东莞市</w:t>
      </w:r>
      <w:r>
        <w:rPr>
          <w:rFonts w:hint="eastAsia" w:ascii="仿宋_GB2312" w:hAnsi="仿宋_GB2312" w:eastAsia="仿宋_GB2312" w:cs="仿宋_GB2312"/>
          <w:sz w:val="32"/>
          <w:szCs w:val="32"/>
        </w:rPr>
        <w:t>重点货运车辆轨迹数据、高速公路货运数据（含高速公路车辆通行记录）、非现场执法数据、车辆身份数据</w:t>
      </w:r>
      <w:r>
        <w:rPr>
          <w:rFonts w:hint="eastAsia" w:ascii="仿宋_GB2312" w:hAnsi="仿宋_GB2312" w:eastAsia="仿宋_GB2312" w:cs="仿宋_GB2312"/>
          <w:sz w:val="32"/>
          <w:szCs w:val="32"/>
          <w:lang w:eastAsia="zh-CN"/>
        </w:rPr>
        <w:t>、普通公路交调点（交通量调查观测点）数据</w:t>
      </w:r>
      <w:r>
        <w:rPr>
          <w:rFonts w:hint="eastAsia" w:ascii="仿宋_GB2312" w:hAnsi="仿宋_GB2312" w:eastAsia="仿宋_GB2312" w:cs="仿宋_GB2312"/>
          <w:sz w:val="32"/>
          <w:szCs w:val="32"/>
        </w:rPr>
        <w:t>为主要数据源，围绕车辆活动强度、通行时段、主要镇街货运特征、城市间货运联系、出入口联系、主要通道流向、普通公路车流空间分布和异常波动原因开展统计分析，形成可复核、可解释、可用于决策支撑的监测成果和年度研究成果。</w:t>
      </w:r>
    </w:p>
    <w:tbl>
      <w:tblPr>
        <w:tblStyle w:val="3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6917"/>
      </w:tblGrid>
      <w:tr w14:paraId="5799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927" w:type="dxa"/>
            <w:shd w:val="clear" w:color="auto" w:fill="auto"/>
            <w:vAlign w:val="center"/>
          </w:tcPr>
          <w:p w14:paraId="3BA3450A">
            <w:pPr>
              <w:spacing w:after="0" w:line="300" w:lineRule="auto"/>
              <w:jc w:val="center"/>
              <w:rPr>
                <w:sz w:val="28"/>
                <w:szCs w:val="28"/>
              </w:rPr>
            </w:pPr>
            <w:r>
              <w:rPr>
                <w:rFonts w:ascii="Times New Roman" w:hAnsi="Times New Roman" w:eastAsia="仿宋"/>
                <w:b/>
                <w:sz w:val="28"/>
                <w:szCs w:val="28"/>
              </w:rPr>
              <w:t>事项</w:t>
            </w:r>
          </w:p>
        </w:tc>
        <w:tc>
          <w:tcPr>
            <w:tcW w:w="6917" w:type="dxa"/>
            <w:shd w:val="clear" w:color="auto" w:fill="auto"/>
            <w:vAlign w:val="center"/>
          </w:tcPr>
          <w:p w14:paraId="42FCC772">
            <w:pPr>
              <w:spacing w:after="0" w:line="300" w:lineRule="auto"/>
              <w:jc w:val="center"/>
              <w:rPr>
                <w:sz w:val="28"/>
                <w:szCs w:val="28"/>
              </w:rPr>
            </w:pPr>
            <w:r>
              <w:rPr>
                <w:rFonts w:ascii="Times New Roman" w:hAnsi="Times New Roman" w:eastAsia="仿宋"/>
                <w:b/>
                <w:sz w:val="28"/>
                <w:szCs w:val="28"/>
              </w:rPr>
              <w:t>内容</w:t>
            </w:r>
          </w:p>
        </w:tc>
      </w:tr>
      <w:tr w14:paraId="174B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14:paraId="19DC686B">
            <w:pPr>
              <w:spacing w:after="0" w:line="300" w:lineRule="auto"/>
              <w:jc w:val="center"/>
              <w:rPr>
                <w:sz w:val="28"/>
                <w:szCs w:val="28"/>
              </w:rPr>
            </w:pPr>
            <w:r>
              <w:rPr>
                <w:rFonts w:ascii="Times New Roman" w:hAnsi="Times New Roman" w:eastAsia="仿宋"/>
                <w:b w:val="0"/>
                <w:sz w:val="28"/>
                <w:szCs w:val="28"/>
              </w:rPr>
              <w:t>采购人</w:t>
            </w:r>
          </w:p>
        </w:tc>
        <w:tc>
          <w:tcPr>
            <w:tcW w:w="6917" w:type="dxa"/>
            <w:vAlign w:val="center"/>
          </w:tcPr>
          <w:p w14:paraId="0EEC03D1">
            <w:pPr>
              <w:spacing w:after="0" w:line="300" w:lineRule="auto"/>
              <w:jc w:val="center"/>
              <w:rPr>
                <w:sz w:val="28"/>
                <w:szCs w:val="28"/>
              </w:rPr>
            </w:pPr>
            <w:r>
              <w:rPr>
                <w:rFonts w:ascii="Times New Roman" w:hAnsi="Times New Roman" w:eastAsia="仿宋"/>
                <w:b w:val="0"/>
                <w:sz w:val="28"/>
                <w:szCs w:val="28"/>
              </w:rPr>
              <w:t>东莞市交通运输局</w:t>
            </w:r>
          </w:p>
        </w:tc>
      </w:tr>
      <w:tr w14:paraId="25E7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14:paraId="2086BC42">
            <w:pPr>
              <w:spacing w:after="0" w:line="300" w:lineRule="auto"/>
              <w:jc w:val="center"/>
              <w:rPr>
                <w:sz w:val="28"/>
                <w:szCs w:val="28"/>
              </w:rPr>
            </w:pPr>
            <w:r>
              <w:rPr>
                <w:rFonts w:ascii="Times New Roman" w:hAnsi="Times New Roman" w:eastAsia="仿宋"/>
                <w:b w:val="0"/>
                <w:sz w:val="28"/>
                <w:szCs w:val="28"/>
              </w:rPr>
              <w:t>项目名称</w:t>
            </w:r>
          </w:p>
        </w:tc>
        <w:tc>
          <w:tcPr>
            <w:tcW w:w="6917" w:type="dxa"/>
            <w:vAlign w:val="center"/>
          </w:tcPr>
          <w:p w14:paraId="6DF56030">
            <w:pPr>
              <w:spacing w:after="0" w:line="300" w:lineRule="auto"/>
              <w:jc w:val="center"/>
              <w:rPr>
                <w:sz w:val="28"/>
                <w:szCs w:val="28"/>
              </w:rPr>
            </w:pPr>
            <w:r>
              <w:rPr>
                <w:rFonts w:ascii="Times New Roman" w:hAnsi="Times New Roman" w:eastAsia="仿宋"/>
                <w:b w:val="0"/>
                <w:sz w:val="28"/>
                <w:szCs w:val="28"/>
              </w:rPr>
              <w:t>东莞市公路货运统计分析及发展对策研究项目</w:t>
            </w:r>
          </w:p>
        </w:tc>
      </w:tr>
      <w:tr w14:paraId="4541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27" w:type="dxa"/>
            <w:vAlign w:val="center"/>
          </w:tcPr>
          <w:p w14:paraId="7FBEC214">
            <w:pPr>
              <w:spacing w:after="0" w:line="300" w:lineRule="auto"/>
              <w:jc w:val="center"/>
              <w:rPr>
                <w:sz w:val="28"/>
                <w:szCs w:val="28"/>
              </w:rPr>
            </w:pPr>
            <w:r>
              <w:rPr>
                <w:rFonts w:ascii="Times New Roman" w:hAnsi="Times New Roman" w:eastAsia="仿宋"/>
                <w:b w:val="0"/>
                <w:sz w:val="28"/>
                <w:szCs w:val="28"/>
              </w:rPr>
              <w:t>服务周期</w:t>
            </w:r>
          </w:p>
        </w:tc>
        <w:tc>
          <w:tcPr>
            <w:tcW w:w="6917" w:type="dxa"/>
            <w:vAlign w:val="center"/>
          </w:tcPr>
          <w:p w14:paraId="1436804C">
            <w:pPr>
              <w:spacing w:after="0" w:line="300" w:lineRule="auto"/>
              <w:jc w:val="center"/>
              <w:rPr>
                <w:sz w:val="28"/>
                <w:szCs w:val="28"/>
              </w:rPr>
            </w:pPr>
            <w:r>
              <w:rPr>
                <w:rFonts w:ascii="Times New Roman" w:hAnsi="Times New Roman" w:eastAsia="仿宋"/>
                <w:b w:val="0"/>
                <w:sz w:val="28"/>
                <w:szCs w:val="28"/>
              </w:rPr>
              <w:t>一年，自合同签订之日起计算</w:t>
            </w:r>
          </w:p>
        </w:tc>
      </w:tr>
      <w:tr w14:paraId="65FE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27" w:type="dxa"/>
            <w:vAlign w:val="center"/>
          </w:tcPr>
          <w:p w14:paraId="7CD6DA0E">
            <w:pPr>
              <w:spacing w:after="0" w:line="300" w:lineRule="auto"/>
              <w:jc w:val="center"/>
              <w:rPr>
                <w:sz w:val="28"/>
                <w:szCs w:val="28"/>
              </w:rPr>
            </w:pPr>
            <w:r>
              <w:rPr>
                <w:rFonts w:ascii="Times New Roman" w:hAnsi="Times New Roman" w:eastAsia="仿宋"/>
                <w:b w:val="0"/>
                <w:sz w:val="28"/>
                <w:szCs w:val="28"/>
              </w:rPr>
              <w:t>最高限价</w:t>
            </w:r>
          </w:p>
        </w:tc>
        <w:tc>
          <w:tcPr>
            <w:tcW w:w="6917" w:type="dxa"/>
            <w:vAlign w:val="center"/>
          </w:tcPr>
          <w:p w14:paraId="3A558732">
            <w:pPr>
              <w:spacing w:after="0" w:line="300" w:lineRule="auto"/>
              <w:jc w:val="center"/>
              <w:rPr>
                <w:sz w:val="28"/>
                <w:szCs w:val="28"/>
              </w:rPr>
            </w:pPr>
            <w:r>
              <w:rPr>
                <w:rFonts w:ascii="Times New Roman" w:hAnsi="Times New Roman" w:eastAsia="仿宋"/>
                <w:b w:val="0"/>
                <w:sz w:val="28"/>
                <w:szCs w:val="28"/>
              </w:rPr>
              <w:t>人民币320000.00元（叁拾贰万元整）</w:t>
            </w:r>
          </w:p>
        </w:tc>
      </w:tr>
    </w:tbl>
    <w:p w14:paraId="138063F9">
      <w:pPr>
        <w:spacing w:after="80" w:line="360" w:lineRule="auto"/>
      </w:pPr>
    </w:p>
    <w:p w14:paraId="026BC6C7">
      <w:pPr>
        <w:pStyle w:val="3"/>
        <w:pageBreakBefore w:val="0"/>
        <w:widowControl/>
        <w:kinsoku/>
        <w:wordWrap/>
        <w:overflowPunct/>
        <w:topLinePunct w:val="0"/>
        <w:autoSpaceDE/>
        <w:autoSpaceDN/>
        <w:bidi w:val="0"/>
        <w:adjustRightInd/>
        <w:snapToGrid/>
        <w:spacing w:before="160" w:after="120" w:line="240" w:lineRule="auto"/>
        <w:ind w:firstLine="640" w:firstLineChars="200"/>
        <w:textAlignment w:val="auto"/>
        <w:rPr>
          <w:rFonts w:hint="eastAsia" w:ascii="国标黑体" w:hAnsi="国标黑体" w:eastAsia="国标黑体" w:cs="国标黑体"/>
          <w:b w:val="0"/>
          <w:bCs w:val="0"/>
          <w:color w:val="auto"/>
          <w:sz w:val="32"/>
          <w:szCs w:val="32"/>
        </w:rPr>
      </w:pPr>
      <w:r>
        <w:rPr>
          <w:rFonts w:hint="eastAsia" w:ascii="国标黑体" w:hAnsi="国标黑体" w:eastAsia="国标黑体" w:cs="国标黑体"/>
          <w:b w:val="0"/>
          <w:bCs w:val="0"/>
          <w:color w:val="auto"/>
          <w:sz w:val="32"/>
          <w:szCs w:val="32"/>
        </w:rPr>
        <w:t>二、采购需求与技术要求</w:t>
      </w:r>
    </w:p>
    <w:p w14:paraId="7D2F7CB3">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（一）服务总体要求</w:t>
      </w:r>
    </w:p>
    <w:p w14:paraId="596587C5">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数据处理：</w:t>
      </w:r>
      <w:r>
        <w:rPr>
          <w:rFonts w:hint="eastAsia" w:ascii="仿宋_GB2312" w:hAnsi="仿宋_GB2312" w:eastAsia="仿宋_GB2312" w:cs="仿宋_GB2312"/>
          <w:sz w:val="32"/>
          <w:szCs w:val="32"/>
          <w:lang w:eastAsia="zh-CN"/>
        </w:rPr>
        <w:t>搜集</w:t>
      </w:r>
      <w:r>
        <w:rPr>
          <w:rFonts w:hint="eastAsia" w:ascii="仿宋_GB2312" w:hAnsi="仿宋_GB2312" w:eastAsia="仿宋_GB2312" w:cs="仿宋_GB2312"/>
          <w:sz w:val="32"/>
          <w:szCs w:val="32"/>
        </w:rPr>
        <w:t>东莞市重点货运车辆轨迹数据、高速公路货运数据（含高速公路车辆通行记录）、非现场执法数据、车辆身份数据、普通公路交调点数据</w:t>
      </w:r>
      <w:r>
        <w:rPr>
          <w:rFonts w:hint="eastAsia" w:ascii="仿宋_GB2312" w:hAnsi="仿宋_GB2312" w:eastAsia="仿宋_GB2312" w:cs="仿宋_GB2312"/>
          <w:sz w:val="32"/>
          <w:szCs w:val="32"/>
          <w:lang w:eastAsia="zh-CN"/>
        </w:rPr>
        <w:t>，并对数据</w:t>
      </w:r>
      <w:r>
        <w:rPr>
          <w:rFonts w:hint="eastAsia" w:ascii="仿宋_GB2312" w:hAnsi="仿宋_GB2312" w:eastAsia="仿宋_GB2312" w:cs="仿宋_GB2312"/>
          <w:sz w:val="32"/>
          <w:szCs w:val="32"/>
        </w:rPr>
        <w:t>进行脱敏、清洗、去重、纠偏、时间统一、空间匹配和异常识别，建立车辆、行程、路段、收费站、执法记录、车辆身份、普通公路交调点和主要镇街等分析口径。</w:t>
      </w:r>
    </w:p>
    <w:p w14:paraId="038A2AB6">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时空分析：以主要镇街为基本空间单元，按</w:t>
      </w:r>
      <w:r>
        <w:rPr>
          <w:rFonts w:hint="eastAsia" w:ascii="仿宋_GB2312" w:hAnsi="仿宋_GB2312" w:eastAsia="仿宋_GB2312" w:cs="仿宋_GB2312"/>
          <w:sz w:val="32"/>
          <w:szCs w:val="32"/>
          <w:lang w:eastAsia="zh-CN"/>
        </w:rPr>
        <w:t>季度、</w:t>
      </w:r>
      <w:r>
        <w:rPr>
          <w:rFonts w:hint="eastAsia" w:ascii="仿宋_GB2312" w:hAnsi="仿宋_GB2312" w:eastAsia="仿宋_GB2312" w:cs="仿宋_GB2312"/>
          <w:sz w:val="32"/>
          <w:szCs w:val="32"/>
        </w:rPr>
        <w:t>月、周、日、小时等时间尺度分析货运车辆活动强度、出行高峰、停留特征、进出方向、跨主要镇街联系和通道依赖关系</w:t>
      </w:r>
      <w:r>
        <w:rPr>
          <w:rFonts w:hint="eastAsia" w:ascii="仿宋_GB2312" w:hAnsi="仿宋_GB2312" w:eastAsia="仿宋_GB2312" w:cs="仿宋_GB2312"/>
          <w:sz w:val="32"/>
          <w:szCs w:val="32"/>
          <w:lang w:eastAsia="zh-CN"/>
        </w:rPr>
        <w:t>，并结合普通公路交调点数据还原普通公路货运车流的空间分布特征</w:t>
      </w:r>
      <w:r>
        <w:rPr>
          <w:rFonts w:hint="eastAsia" w:ascii="仿宋_GB2312" w:hAnsi="仿宋_GB2312" w:eastAsia="仿宋_GB2312" w:cs="仿宋_GB2312"/>
          <w:sz w:val="32"/>
          <w:szCs w:val="32"/>
        </w:rPr>
        <w:t>。</w:t>
      </w:r>
    </w:p>
    <w:p w14:paraId="00A8B164">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成果表达：形成月度监测报告、季度监测报告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年度总研究报告、主要镇街货运时空分析表、主要通道及高速出入口分析图表、普通公路交调点车流分布图表，并根据采购人需要提供汇报材料和可编辑图件。</w:t>
      </w:r>
    </w:p>
    <w:p w14:paraId="08DE209D">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质量与安全：建立数据口径说明、质量校核记录和成果复核机制；严格执行数据安全、保密和个人信息保护要求，未经采购人同意不得对外披露原始数据、过程数据和分析成果。</w:t>
      </w:r>
    </w:p>
    <w:p w14:paraId="0942FDB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（二）公路货运时空格局分析要求</w:t>
      </w:r>
    </w:p>
    <w:p w14:paraId="72B2BAB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服务商应聚焦东莞各主要镇街公路货运的时间、空间特征开展系统分析。分析内容应至少包括以下维度：</w:t>
      </w:r>
    </w:p>
    <w:tbl>
      <w:tblPr>
        <w:tblStyle w:val="39"/>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14"/>
        <w:gridCol w:w="6350"/>
      </w:tblGrid>
      <w:tr w14:paraId="5974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80" w:type="dxa"/>
            <w:shd w:val="clear" w:color="auto" w:fill="auto"/>
            <w:vAlign w:val="center"/>
          </w:tcPr>
          <w:p w14:paraId="1B2752B7">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序号</w:t>
            </w:r>
          </w:p>
        </w:tc>
        <w:tc>
          <w:tcPr>
            <w:tcW w:w="1814" w:type="dxa"/>
            <w:shd w:val="clear" w:color="auto" w:fill="auto"/>
            <w:vAlign w:val="center"/>
          </w:tcPr>
          <w:p w14:paraId="1C76F4CF">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分析维度</w:t>
            </w:r>
          </w:p>
        </w:tc>
        <w:tc>
          <w:tcPr>
            <w:tcW w:w="6350" w:type="dxa"/>
            <w:shd w:val="clear" w:color="auto" w:fill="auto"/>
            <w:vAlign w:val="center"/>
          </w:tcPr>
          <w:p w14:paraId="2E276B80">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核心数据处理与分析要求</w:t>
            </w:r>
          </w:p>
        </w:tc>
      </w:tr>
      <w:tr w14:paraId="092F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0" w:type="dxa"/>
            <w:vAlign w:val="center"/>
          </w:tcPr>
          <w:p w14:paraId="462ED555">
            <w:pPr>
              <w:spacing w:after="0" w:line="300" w:lineRule="auto"/>
              <w:jc w:val="center"/>
            </w:pPr>
            <w:r>
              <w:rPr>
                <w:rFonts w:ascii="Times New Roman" w:hAnsi="Times New Roman" w:eastAsia="仿宋"/>
                <w:b w:val="0"/>
                <w:sz w:val="21"/>
              </w:rPr>
              <w:t>1</w:t>
            </w:r>
          </w:p>
        </w:tc>
        <w:tc>
          <w:tcPr>
            <w:tcW w:w="1814" w:type="dxa"/>
            <w:vAlign w:val="center"/>
          </w:tcPr>
          <w:p w14:paraId="24C8237F">
            <w:pPr>
              <w:spacing w:after="0" w:line="300" w:lineRule="auto"/>
              <w:jc w:val="center"/>
            </w:pPr>
            <w:r>
              <w:rPr>
                <w:rFonts w:ascii="Times New Roman" w:hAnsi="Times New Roman" w:eastAsia="仿宋"/>
                <w:b w:val="0"/>
                <w:sz w:val="21"/>
              </w:rPr>
              <w:t>数据口径与样本校核</w:t>
            </w:r>
          </w:p>
        </w:tc>
        <w:tc>
          <w:tcPr>
            <w:tcW w:w="6350" w:type="dxa"/>
            <w:vAlign w:val="center"/>
          </w:tcPr>
          <w:p w14:paraId="34914E9A">
            <w:pPr>
              <w:spacing w:after="0" w:line="300" w:lineRule="auto"/>
            </w:pPr>
            <w:r>
              <w:rPr>
                <w:rFonts w:hint="eastAsia" w:ascii="Times New Roman" w:hAnsi="Times New Roman" w:eastAsia="仿宋"/>
                <w:b w:val="0"/>
                <w:sz w:val="21"/>
              </w:rPr>
              <w:t>明确各类数据（重点货运车辆轨迹数据、高速公路货运数据、非现场执法数据、车辆身份数据、普通公路交调点数据）的统计口径、覆盖范围、时间粒度和字段含义；完成车辆唯一标识脱敏、轨迹漂移剔除、重复通行记录清理，以及异常速度、异常停留和异常执法记录识别，形成可复核的数据处理说明。</w:t>
            </w:r>
          </w:p>
        </w:tc>
      </w:tr>
      <w:tr w14:paraId="3B50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0" w:type="dxa"/>
            <w:vAlign w:val="center"/>
          </w:tcPr>
          <w:p w14:paraId="63A73B05">
            <w:pPr>
              <w:spacing w:after="0" w:line="300" w:lineRule="auto"/>
              <w:jc w:val="center"/>
            </w:pPr>
            <w:r>
              <w:rPr>
                <w:rFonts w:ascii="Times New Roman" w:hAnsi="Times New Roman" w:eastAsia="仿宋"/>
                <w:b w:val="0"/>
                <w:sz w:val="21"/>
              </w:rPr>
              <w:t>2</w:t>
            </w:r>
          </w:p>
        </w:tc>
        <w:tc>
          <w:tcPr>
            <w:tcW w:w="1814" w:type="dxa"/>
            <w:vAlign w:val="center"/>
          </w:tcPr>
          <w:p w14:paraId="3BB3AB41">
            <w:pPr>
              <w:spacing w:after="0" w:line="300" w:lineRule="auto"/>
              <w:jc w:val="center"/>
            </w:pPr>
            <w:r>
              <w:rPr>
                <w:rFonts w:ascii="Times New Roman" w:hAnsi="Times New Roman" w:eastAsia="仿宋"/>
                <w:b w:val="0"/>
                <w:sz w:val="21"/>
              </w:rPr>
              <w:t>主要镇街货运活动强度</w:t>
            </w:r>
          </w:p>
        </w:tc>
        <w:tc>
          <w:tcPr>
            <w:tcW w:w="6350" w:type="dxa"/>
            <w:vAlign w:val="center"/>
          </w:tcPr>
          <w:p w14:paraId="6D615013">
            <w:pPr>
              <w:spacing w:after="0" w:line="300" w:lineRule="auto"/>
            </w:pPr>
            <w:r>
              <w:rPr>
                <w:rFonts w:ascii="Times New Roman" w:hAnsi="Times New Roman" w:eastAsia="仿宋"/>
                <w:b w:val="0"/>
                <w:sz w:val="21"/>
              </w:rPr>
              <w:t>按东莞各主要镇街统计货运车辆出现次数、活跃车辆数、行程次数、停留次数、车辆活动里程、重点时段活跃强度等指标，识别货运活动高强度镇街、增长较快镇街和波动异常镇街。</w:t>
            </w:r>
          </w:p>
        </w:tc>
      </w:tr>
      <w:tr w14:paraId="278B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80" w:type="dxa"/>
            <w:vAlign w:val="center"/>
          </w:tcPr>
          <w:p w14:paraId="4CAD0B19">
            <w:pPr>
              <w:spacing w:after="0" w:line="300" w:lineRule="auto"/>
              <w:jc w:val="center"/>
            </w:pPr>
            <w:r>
              <w:rPr>
                <w:rFonts w:ascii="Times New Roman" w:hAnsi="Times New Roman" w:eastAsia="仿宋"/>
                <w:b w:val="0"/>
                <w:sz w:val="21"/>
              </w:rPr>
              <w:t>3</w:t>
            </w:r>
          </w:p>
        </w:tc>
        <w:tc>
          <w:tcPr>
            <w:tcW w:w="1814" w:type="dxa"/>
            <w:vAlign w:val="center"/>
          </w:tcPr>
          <w:p w14:paraId="2592066E">
            <w:pPr>
              <w:spacing w:after="0" w:line="300" w:lineRule="auto"/>
              <w:jc w:val="center"/>
            </w:pPr>
            <w:r>
              <w:rPr>
                <w:rFonts w:ascii="Times New Roman" w:hAnsi="Times New Roman" w:eastAsia="仿宋"/>
                <w:b w:val="0"/>
                <w:sz w:val="21"/>
              </w:rPr>
              <w:t>主要镇街间OD联系</w:t>
            </w:r>
          </w:p>
        </w:tc>
        <w:tc>
          <w:tcPr>
            <w:tcW w:w="6350" w:type="dxa"/>
            <w:vAlign w:val="center"/>
          </w:tcPr>
          <w:p w14:paraId="76EE6B61">
            <w:pPr>
              <w:spacing w:after="0" w:line="300" w:lineRule="auto"/>
            </w:pPr>
            <w:r>
              <w:rPr>
                <w:rFonts w:ascii="Times New Roman" w:hAnsi="Times New Roman" w:eastAsia="仿宋"/>
                <w:b w:val="0"/>
                <w:sz w:val="21"/>
              </w:rPr>
              <w:t>构建主要镇街之间货运联系矩阵，分析本市内部跨主要镇街运输、重点镇街之间的联系强度、联系方向和变化趋势，识别主要货运联系走廊和节点镇街。</w:t>
            </w:r>
          </w:p>
        </w:tc>
      </w:tr>
      <w:tr w14:paraId="75E0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0" w:type="dxa"/>
            <w:vAlign w:val="center"/>
          </w:tcPr>
          <w:p w14:paraId="67F82BCB">
            <w:pPr>
              <w:spacing w:after="0" w:line="300" w:lineRule="auto"/>
              <w:jc w:val="center"/>
            </w:pPr>
            <w:r>
              <w:rPr>
                <w:rFonts w:ascii="Times New Roman" w:hAnsi="Times New Roman" w:eastAsia="仿宋"/>
                <w:b w:val="0"/>
                <w:sz w:val="21"/>
              </w:rPr>
              <w:t>4</w:t>
            </w:r>
          </w:p>
        </w:tc>
        <w:tc>
          <w:tcPr>
            <w:tcW w:w="1814" w:type="dxa"/>
            <w:vAlign w:val="center"/>
          </w:tcPr>
          <w:p w14:paraId="54473931">
            <w:pPr>
              <w:spacing w:after="0" w:line="300" w:lineRule="auto"/>
              <w:jc w:val="center"/>
            </w:pPr>
            <w:r>
              <w:rPr>
                <w:rFonts w:ascii="Times New Roman" w:hAnsi="Times New Roman" w:eastAsia="仿宋"/>
                <w:b w:val="0"/>
                <w:sz w:val="21"/>
              </w:rPr>
              <w:t>时间变化特征</w:t>
            </w:r>
          </w:p>
        </w:tc>
        <w:tc>
          <w:tcPr>
            <w:tcW w:w="6350" w:type="dxa"/>
            <w:vAlign w:val="center"/>
          </w:tcPr>
          <w:p w14:paraId="149B541F">
            <w:pPr>
              <w:spacing w:after="0" w:line="300" w:lineRule="auto"/>
            </w:pPr>
            <w:r>
              <w:rPr>
                <w:rFonts w:hint="eastAsia" w:ascii="Times New Roman" w:hAnsi="Times New Roman" w:eastAsia="仿宋"/>
                <w:b w:val="0"/>
                <w:sz w:val="21"/>
              </w:rPr>
              <w:t>按季度、月度、工作日/休息日、日内小时分析货运运行节奏，识别早晚高峰、夜间货运、节假日前后波动、月末月初变化等规律，并说明变化原因。</w:t>
            </w:r>
          </w:p>
        </w:tc>
      </w:tr>
      <w:tr w14:paraId="633D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0" w:type="dxa"/>
            <w:vAlign w:val="center"/>
          </w:tcPr>
          <w:p w14:paraId="27DE1812">
            <w:pPr>
              <w:spacing w:after="0" w:line="300" w:lineRule="auto"/>
              <w:jc w:val="center"/>
            </w:pPr>
            <w:r>
              <w:rPr>
                <w:rFonts w:ascii="Times New Roman" w:hAnsi="Times New Roman" w:eastAsia="仿宋"/>
                <w:b w:val="0"/>
                <w:sz w:val="21"/>
              </w:rPr>
              <w:t>5</w:t>
            </w:r>
          </w:p>
        </w:tc>
        <w:tc>
          <w:tcPr>
            <w:tcW w:w="1814" w:type="dxa"/>
            <w:vAlign w:val="center"/>
          </w:tcPr>
          <w:p w14:paraId="6AF3EEE7">
            <w:pPr>
              <w:spacing w:after="0" w:line="300" w:lineRule="auto"/>
              <w:jc w:val="center"/>
            </w:pPr>
            <w:r>
              <w:rPr>
                <w:rFonts w:ascii="Times New Roman" w:hAnsi="Times New Roman" w:eastAsia="仿宋"/>
                <w:b w:val="0"/>
                <w:sz w:val="21"/>
              </w:rPr>
              <w:t>城市间货运联系</w:t>
            </w:r>
          </w:p>
        </w:tc>
        <w:tc>
          <w:tcPr>
            <w:tcW w:w="6350" w:type="dxa"/>
            <w:vAlign w:val="center"/>
          </w:tcPr>
          <w:p w14:paraId="5D744AAC">
            <w:pPr>
              <w:spacing w:after="0" w:line="300" w:lineRule="auto"/>
            </w:pPr>
            <w:r>
              <w:rPr>
                <w:rFonts w:hint="eastAsia" w:ascii="Times New Roman" w:hAnsi="Times New Roman" w:eastAsia="仿宋"/>
                <w:b w:val="0"/>
                <w:sz w:val="21"/>
              </w:rPr>
              <w:t>基于各类数据（重点货运车辆轨迹数据、高速公路货运数据、非现场执法数据、车辆身份数据、普通公路交调点数据）、行程起讫点和高速出入口记录，分析东莞与广州、深圳、佛山、惠州、中山等周边城市之间的货运联系强度、主要方向、通道选择、入莞出莞特征和变化趋势，识别东莞对外货运联系的主要城市、主要走廊和通道依赖关系。</w:t>
            </w:r>
          </w:p>
        </w:tc>
      </w:tr>
      <w:tr w14:paraId="48B0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0" w:type="dxa"/>
            <w:vAlign w:val="center"/>
          </w:tcPr>
          <w:p w14:paraId="4703BA25">
            <w:pPr>
              <w:spacing w:after="0" w:line="300" w:lineRule="auto"/>
              <w:jc w:val="center"/>
            </w:pPr>
            <w:r>
              <w:rPr>
                <w:rFonts w:ascii="Times New Roman" w:hAnsi="Times New Roman" w:eastAsia="仿宋"/>
                <w:b w:val="0"/>
                <w:sz w:val="21"/>
              </w:rPr>
              <w:t>6</w:t>
            </w:r>
          </w:p>
        </w:tc>
        <w:tc>
          <w:tcPr>
            <w:tcW w:w="1814" w:type="dxa"/>
            <w:vAlign w:val="center"/>
          </w:tcPr>
          <w:p w14:paraId="6CA0DB29">
            <w:pPr>
              <w:spacing w:after="0" w:line="300" w:lineRule="auto"/>
              <w:jc w:val="center"/>
            </w:pPr>
            <w:r>
              <w:rPr>
                <w:rFonts w:ascii="Times New Roman" w:hAnsi="Times New Roman" w:eastAsia="仿宋"/>
                <w:b w:val="0"/>
                <w:sz w:val="21"/>
              </w:rPr>
              <w:t>高速公路通行特征</w:t>
            </w:r>
          </w:p>
        </w:tc>
        <w:tc>
          <w:tcPr>
            <w:tcW w:w="6350" w:type="dxa"/>
            <w:vAlign w:val="center"/>
          </w:tcPr>
          <w:p w14:paraId="26851FB0">
            <w:pPr>
              <w:spacing w:after="0" w:line="300" w:lineRule="auto"/>
            </w:pPr>
            <w:r>
              <w:rPr>
                <w:rFonts w:ascii="Times New Roman" w:hAnsi="Times New Roman" w:eastAsia="仿宋"/>
                <w:b w:val="0"/>
                <w:sz w:val="21"/>
              </w:rPr>
              <w:t>利用东莞市高速公路货运数据分析主要收费站、门架或出入口的货车通行量、时段分布、方向结构、入莞出莞联系和过境交通特征，研判高速通道对主要镇街货运组织的支撑作用。</w:t>
            </w:r>
          </w:p>
        </w:tc>
      </w:tr>
      <w:tr w14:paraId="5FDC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80" w:type="dxa"/>
            <w:shd w:val="clear" w:color="auto" w:fill="auto"/>
            <w:vAlign w:val="center"/>
          </w:tcPr>
          <w:p w14:paraId="33BCA76E">
            <w:pPr>
              <w:spacing w:after="0" w:line="300" w:lineRule="auto"/>
              <w:jc w:val="center"/>
              <w:rPr>
                <w:rFonts w:ascii="Times New Roman" w:hAnsi="Times New Roman" w:eastAsia="仿宋"/>
                <w:b w:val="0"/>
                <w:sz w:val="21"/>
                <w:lang w:val="en-US" w:eastAsia="en-US"/>
              </w:rPr>
            </w:pPr>
            <w:r>
              <w:rPr>
                <w:rFonts w:ascii="Times New Roman" w:hAnsi="Times New Roman" w:eastAsia="仿宋"/>
                <w:b w:val="0"/>
                <w:sz w:val="21"/>
              </w:rPr>
              <w:t>7</w:t>
            </w:r>
          </w:p>
        </w:tc>
        <w:tc>
          <w:tcPr>
            <w:tcW w:w="1814" w:type="dxa"/>
            <w:shd w:val="clear" w:color="auto" w:fill="auto"/>
            <w:vAlign w:val="center"/>
          </w:tcPr>
          <w:p w14:paraId="0BF8A3EE">
            <w:pPr>
              <w:spacing w:after="0" w:line="300" w:lineRule="auto"/>
              <w:jc w:val="center"/>
              <w:rPr>
                <w:rFonts w:ascii="Times New Roman" w:hAnsi="Times New Roman" w:eastAsia="仿宋"/>
                <w:b w:val="0"/>
                <w:sz w:val="21"/>
                <w:lang w:val="en-US" w:eastAsia="en-US"/>
              </w:rPr>
            </w:pPr>
            <w:r>
              <w:rPr>
                <w:rFonts w:ascii="Times New Roman" w:hAnsi="Times New Roman" w:eastAsia="仿宋"/>
                <w:b w:val="0"/>
                <w:sz w:val="21"/>
              </w:rPr>
              <w:t>普通公路交调点数据分析</w:t>
            </w:r>
          </w:p>
        </w:tc>
        <w:tc>
          <w:tcPr>
            <w:tcW w:w="6350" w:type="dxa"/>
            <w:shd w:val="clear" w:color="auto" w:fill="auto"/>
            <w:vAlign w:val="center"/>
          </w:tcPr>
          <w:p w14:paraId="08B2D0FE">
            <w:pPr>
              <w:spacing w:after="0" w:line="300" w:lineRule="auto"/>
              <w:jc w:val="center"/>
              <w:rPr>
                <w:rFonts w:ascii="Times New Roman" w:hAnsi="Times New Roman" w:eastAsia="仿宋"/>
                <w:b w:val="0"/>
                <w:sz w:val="21"/>
                <w:lang w:val="en-US" w:eastAsia="en-US"/>
              </w:rPr>
            </w:pPr>
            <w:r>
              <w:rPr>
                <w:rFonts w:ascii="Times New Roman" w:hAnsi="Times New Roman" w:eastAsia="仿宋"/>
                <w:b w:val="0"/>
                <w:sz w:val="21"/>
              </w:rPr>
              <w:t>利用普通公路交调点（交通量调查观测站）的交通量、车型构成、时段分布等数据，分析普通公路（非高速）上货运车流的空间分布、干线走向和时段变化；结合高速公路货运数据与轨迹数据相互补充，还原东莞干线公路网和主要镇街之间货运车流与运输行为的整体空间分布格局，弥补仅依靠高速数据难以覆盖普通公路货运的不足。</w:t>
            </w:r>
          </w:p>
        </w:tc>
      </w:tr>
      <w:tr w14:paraId="2262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0" w:type="dxa"/>
            <w:vAlign w:val="center"/>
          </w:tcPr>
          <w:p w14:paraId="14DC0CE3">
            <w:pPr>
              <w:spacing w:after="0" w:line="300" w:lineRule="auto"/>
              <w:jc w:val="center"/>
              <w:rPr>
                <w:rFonts w:hint="eastAsia" w:eastAsia="PingFang SC"/>
                <w:lang w:eastAsia="zh-CN"/>
              </w:rPr>
            </w:pPr>
            <w:r>
              <w:rPr>
                <w:rFonts w:hint="eastAsia" w:ascii="Times New Roman" w:hAnsi="Times New Roman" w:eastAsia="仿宋"/>
                <w:b w:val="0"/>
                <w:sz w:val="21"/>
                <w:lang w:val="en-US" w:eastAsia="zh-CN"/>
              </w:rPr>
              <w:t>8</w:t>
            </w:r>
          </w:p>
        </w:tc>
        <w:tc>
          <w:tcPr>
            <w:tcW w:w="1814" w:type="dxa"/>
            <w:vAlign w:val="center"/>
          </w:tcPr>
          <w:p w14:paraId="7FC02547">
            <w:pPr>
              <w:spacing w:after="0" w:line="300" w:lineRule="auto"/>
              <w:jc w:val="center"/>
            </w:pPr>
            <w:r>
              <w:rPr>
                <w:rFonts w:ascii="Times New Roman" w:hAnsi="Times New Roman" w:eastAsia="仿宋"/>
                <w:b w:val="0"/>
                <w:sz w:val="21"/>
              </w:rPr>
              <w:t>重点车辆运行特征</w:t>
            </w:r>
          </w:p>
        </w:tc>
        <w:tc>
          <w:tcPr>
            <w:tcW w:w="6350" w:type="dxa"/>
            <w:vAlign w:val="center"/>
          </w:tcPr>
          <w:p w14:paraId="117980B6">
            <w:pPr>
              <w:spacing w:after="0" w:line="300" w:lineRule="auto"/>
            </w:pPr>
            <w:r>
              <w:rPr>
                <w:rFonts w:ascii="Times New Roman" w:hAnsi="Times New Roman" w:eastAsia="仿宋"/>
                <w:b w:val="0"/>
                <w:sz w:val="21"/>
              </w:rPr>
              <w:t>分析重点货运车辆的运行频次、活动半径、停留时长、跨市跨镇活动、重复路径和异常运行情况，识别高频运行车辆群体及其对重点镇街、主要通道的影响。</w:t>
            </w:r>
          </w:p>
        </w:tc>
      </w:tr>
      <w:tr w14:paraId="3A84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0" w:type="dxa"/>
            <w:vAlign w:val="center"/>
          </w:tcPr>
          <w:p w14:paraId="2D3F24E5">
            <w:pPr>
              <w:spacing w:after="0" w:line="300" w:lineRule="auto"/>
              <w:jc w:val="center"/>
              <w:rPr>
                <w:rFonts w:hint="eastAsia" w:eastAsia="PingFang SC"/>
                <w:lang w:eastAsia="zh-CN"/>
              </w:rPr>
            </w:pPr>
            <w:r>
              <w:rPr>
                <w:rFonts w:hint="eastAsia" w:ascii="Times New Roman" w:hAnsi="Times New Roman" w:eastAsia="仿宋"/>
                <w:b w:val="0"/>
                <w:sz w:val="21"/>
                <w:lang w:val="en-US" w:eastAsia="zh-CN"/>
              </w:rPr>
              <w:t>9</w:t>
            </w:r>
          </w:p>
        </w:tc>
        <w:tc>
          <w:tcPr>
            <w:tcW w:w="1814" w:type="dxa"/>
            <w:vAlign w:val="center"/>
          </w:tcPr>
          <w:p w14:paraId="3567824D">
            <w:pPr>
              <w:spacing w:after="0" w:line="300" w:lineRule="auto"/>
              <w:jc w:val="center"/>
            </w:pPr>
            <w:r>
              <w:rPr>
                <w:rFonts w:ascii="Times New Roman" w:hAnsi="Times New Roman" w:eastAsia="仿宋"/>
                <w:b w:val="0"/>
                <w:sz w:val="21"/>
              </w:rPr>
              <w:t>问题识别与对策支撑</w:t>
            </w:r>
          </w:p>
        </w:tc>
        <w:tc>
          <w:tcPr>
            <w:tcW w:w="6350" w:type="dxa"/>
            <w:vAlign w:val="center"/>
          </w:tcPr>
          <w:p w14:paraId="6B034A62">
            <w:pPr>
              <w:spacing w:after="0" w:line="300" w:lineRule="auto"/>
            </w:pPr>
            <w:r>
              <w:rPr>
                <w:rFonts w:ascii="Times New Roman" w:hAnsi="Times New Roman" w:eastAsia="仿宋"/>
                <w:b w:val="0"/>
                <w:sz w:val="21"/>
              </w:rPr>
              <w:t>结合时空分析结果识别货运组织、通道拥堵、枢纽衔接、镇街差异、数据治理和监管服务中的主要问题，提出近期可操作、中期可推进、长期可完善的发展对策。</w:t>
            </w:r>
          </w:p>
        </w:tc>
      </w:tr>
    </w:tbl>
    <w:p w14:paraId="4E44DC01">
      <w:pPr>
        <w:spacing w:after="80" w:line="360" w:lineRule="auto"/>
      </w:pPr>
    </w:p>
    <w:p w14:paraId="41419885">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（三）报告编制要求</w:t>
      </w:r>
    </w:p>
    <w:p w14:paraId="4A5DCEE0">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项目研究报告按</w:t>
      </w:r>
      <w:r>
        <w:rPr>
          <w:rFonts w:hint="eastAsia" w:ascii="仿宋_GB2312" w:hAnsi="仿宋_GB2312" w:eastAsia="仿宋_GB2312" w:cs="仿宋_GB2312"/>
          <w:sz w:val="32"/>
          <w:szCs w:val="32"/>
          <w:lang w:eastAsia="zh-CN"/>
        </w:rPr>
        <w:t>月度、</w:t>
      </w:r>
      <w:r>
        <w:rPr>
          <w:rFonts w:hint="eastAsia" w:ascii="仿宋_GB2312" w:hAnsi="仿宋_GB2312" w:eastAsia="仿宋_GB2312" w:cs="仿宋_GB2312"/>
          <w:sz w:val="32"/>
          <w:szCs w:val="32"/>
        </w:rPr>
        <w:t>季度和年度三个层级编制：</w:t>
      </w:r>
    </w:p>
    <w:p w14:paraId="2684108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rPr>
        <w:t>度监测报告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商应按月编制《东莞市公路货运月度监测报告》，内容包括数据口径、数据质量、重点货运车辆运行变化、高速公路货车通行变化、普通公路交调点车流分布变化、各主要镇街货运活动强度、主要通道和出入口变化、异常波动原因及管理建议。</w:t>
      </w:r>
    </w:p>
    <w:p w14:paraId="5C91366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季度监测报告：服务商应按季度编制《东莞市公路货运季度监测报告》，内容包括数据口径、数据质量、重点货运车辆运行变化、高速公路货车通行变化、普通公路交调点车流分布变化、各主要镇街货运活动强度、主要通道和出入口变化、异常波动原因及管理建议。</w:t>
      </w:r>
    </w:p>
    <w:p w14:paraId="1CE6E24A">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年度总研究报告：服务商应在服务期末编制《东莞市公路货运统计分析及发展对策研究报告》，系统总结全年货运时空格局、主要镇街差异、通道联系、普通公路车流空间分布、主要问题和发展对策。年度报告应突出主要镇街画像和政策可操作性，至少形成各主要镇街核心指标对比表、主要镇街间联系矩阵、主要通道流向图表、普通公路交调点车流分布图表和对策建议清单。</w:t>
      </w:r>
    </w:p>
    <w:p w14:paraId="3924D479">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报告文字应准确、简洁、逻辑清晰；图表应标注指标口径、时间范围和数据来源；涉及敏感数据的图表应按采购人要求进行脱敏、汇总或降精度处理</w:t>
      </w:r>
      <w:r>
        <w:rPr>
          <w:rFonts w:hint="eastAsia" w:ascii="仿宋_GB2312" w:hAnsi="仿宋_GB2312" w:eastAsia="仿宋_GB2312" w:cs="仿宋_GB2312"/>
          <w:sz w:val="32"/>
          <w:szCs w:val="32"/>
          <w:lang w:eastAsia="zh-CN"/>
        </w:rPr>
        <w:t>。</w:t>
      </w:r>
    </w:p>
    <w:p w14:paraId="06FA746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p w14:paraId="698FC6D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（四）成果要求与规格</w:t>
      </w:r>
    </w:p>
    <w:tbl>
      <w:tblPr>
        <w:tblStyle w:val="3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7144"/>
      </w:tblGrid>
      <w:tr w14:paraId="253C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701" w:type="dxa"/>
            <w:shd w:val="clear" w:color="auto" w:fill="auto"/>
            <w:vAlign w:val="center"/>
          </w:tcPr>
          <w:p w14:paraId="4E85D836">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项目</w:t>
            </w:r>
          </w:p>
        </w:tc>
        <w:tc>
          <w:tcPr>
            <w:tcW w:w="7144" w:type="dxa"/>
            <w:shd w:val="clear" w:color="auto" w:fill="auto"/>
            <w:vAlign w:val="center"/>
          </w:tcPr>
          <w:p w14:paraId="56EE3804">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要求</w:t>
            </w:r>
          </w:p>
        </w:tc>
      </w:tr>
      <w:tr w14:paraId="7637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1" w:type="dxa"/>
            <w:vAlign w:val="center"/>
          </w:tcPr>
          <w:p w14:paraId="48AB0AA6">
            <w:pPr>
              <w:spacing w:after="0" w:line="300" w:lineRule="auto"/>
              <w:jc w:val="center"/>
            </w:pPr>
            <w:r>
              <w:rPr>
                <w:rFonts w:ascii="Times New Roman" w:hAnsi="Times New Roman" w:eastAsia="仿宋"/>
                <w:b w:val="0"/>
                <w:sz w:val="21"/>
              </w:rPr>
              <w:t>月度监测报告</w:t>
            </w:r>
          </w:p>
        </w:tc>
        <w:tc>
          <w:tcPr>
            <w:tcW w:w="7144" w:type="dxa"/>
            <w:vAlign w:val="center"/>
          </w:tcPr>
          <w:p w14:paraId="03E80398">
            <w:pPr>
              <w:spacing w:after="0" w:line="300" w:lineRule="auto"/>
            </w:pPr>
            <w:r>
              <w:rPr>
                <w:rFonts w:ascii="Times New Roman" w:hAnsi="Times New Roman" w:eastAsia="仿宋"/>
                <w:b w:val="0"/>
                <w:sz w:val="21"/>
              </w:rPr>
              <w:t>提交12份月度监测报告。</w:t>
            </w:r>
            <w:r>
              <w:rPr>
                <w:rFonts w:hint="eastAsia" w:ascii="Times New Roman" w:hAnsi="Times New Roman" w:eastAsia="仿宋"/>
                <w:b w:val="0"/>
                <w:sz w:val="21"/>
              </w:rPr>
              <w:t>每份报告应包括重点货运车辆轨迹分析、高速公路货运数据分析、非现场执法数据分析、车辆身份数据分析、普通公路交调点数据分析、各主要镇街货运活动强度、时间波动、东莞与广州、深圳、佛山、惠州、中山等城市间货运联系、异常说明和管理建议。</w:t>
            </w:r>
          </w:p>
        </w:tc>
      </w:tr>
      <w:tr w14:paraId="07B0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1" w:type="dxa"/>
            <w:shd w:val="clear" w:color="auto" w:fill="auto"/>
            <w:vAlign w:val="center"/>
          </w:tcPr>
          <w:p w14:paraId="0794DD1A">
            <w:pPr>
              <w:spacing w:after="0" w:line="300" w:lineRule="auto"/>
              <w:jc w:val="center"/>
              <w:rPr>
                <w:rFonts w:ascii="Times New Roman" w:hAnsi="Times New Roman" w:eastAsia="仿宋"/>
                <w:b w:val="0"/>
                <w:sz w:val="21"/>
                <w:lang w:val="en-US" w:eastAsia="en-US"/>
              </w:rPr>
            </w:pPr>
            <w:r>
              <w:rPr>
                <w:rFonts w:ascii="Times New Roman" w:hAnsi="Times New Roman" w:eastAsia="仿宋"/>
                <w:b w:val="0"/>
                <w:sz w:val="21"/>
              </w:rPr>
              <w:t>季度监测报告</w:t>
            </w:r>
          </w:p>
        </w:tc>
        <w:tc>
          <w:tcPr>
            <w:tcW w:w="7144" w:type="dxa"/>
            <w:shd w:val="clear" w:color="auto" w:fill="auto"/>
            <w:vAlign w:val="center"/>
          </w:tcPr>
          <w:p w14:paraId="7E281044">
            <w:pPr>
              <w:spacing w:after="0" w:line="300" w:lineRule="auto"/>
              <w:jc w:val="left"/>
              <w:rPr>
                <w:rFonts w:ascii="Times New Roman" w:hAnsi="Times New Roman" w:eastAsia="仿宋"/>
                <w:b w:val="0"/>
                <w:sz w:val="21"/>
                <w:lang w:val="en-US" w:eastAsia="en-US"/>
              </w:rPr>
            </w:pPr>
            <w:r>
              <w:rPr>
                <w:rFonts w:ascii="Times New Roman" w:hAnsi="Times New Roman" w:eastAsia="仿宋"/>
                <w:b w:val="0"/>
                <w:sz w:val="21"/>
              </w:rPr>
              <w:t>按季度提交《东莞市公路货运季度监测报告》。每份报告应包括重点货运车辆轨迹分析、高速公路货运数据分析、非现场执法数据分析、车辆身份数据分析、普通公路交调点数据分析、各主要镇街货运活动强度、时间波动、东莞与广州、深圳、佛山、惠州、中山等城市间货运联系、异常说明和管理建议。</w:t>
            </w:r>
          </w:p>
        </w:tc>
      </w:tr>
      <w:tr w14:paraId="25E0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01" w:type="dxa"/>
            <w:vAlign w:val="center"/>
          </w:tcPr>
          <w:p w14:paraId="2A7311ED">
            <w:pPr>
              <w:spacing w:after="0" w:line="300" w:lineRule="auto"/>
              <w:jc w:val="center"/>
            </w:pPr>
            <w:r>
              <w:rPr>
                <w:rFonts w:ascii="Times New Roman" w:hAnsi="Times New Roman" w:eastAsia="仿宋"/>
                <w:b w:val="0"/>
                <w:sz w:val="21"/>
              </w:rPr>
              <w:t>年度总研究报告</w:t>
            </w:r>
          </w:p>
        </w:tc>
        <w:tc>
          <w:tcPr>
            <w:tcW w:w="7144" w:type="dxa"/>
            <w:vAlign w:val="center"/>
          </w:tcPr>
          <w:p w14:paraId="34E05442">
            <w:pPr>
              <w:spacing w:after="0" w:line="300" w:lineRule="auto"/>
            </w:pPr>
            <w:r>
              <w:rPr>
                <w:rFonts w:hint="eastAsia" w:ascii="Times New Roman" w:hAnsi="Times New Roman" w:eastAsia="仿宋"/>
                <w:b w:val="0"/>
                <w:sz w:val="21"/>
              </w:rPr>
              <w:t>提交《东莞市公路货运统计分析及发展对策研究报告》1份，系统反映全年公路货运运行态势、主要镇街时空格局、通道联系、普通公路车流空间分布、问题研判和发展对策。</w:t>
            </w:r>
          </w:p>
        </w:tc>
      </w:tr>
      <w:tr w14:paraId="3962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1" w:type="dxa"/>
            <w:vAlign w:val="center"/>
          </w:tcPr>
          <w:p w14:paraId="5B7243F5">
            <w:pPr>
              <w:spacing w:after="0" w:line="300" w:lineRule="auto"/>
              <w:jc w:val="center"/>
            </w:pPr>
            <w:r>
              <w:rPr>
                <w:rFonts w:ascii="Times New Roman" w:hAnsi="Times New Roman" w:eastAsia="仿宋"/>
                <w:b w:val="0"/>
                <w:sz w:val="21"/>
              </w:rPr>
              <w:t>图表与数据成果</w:t>
            </w:r>
          </w:p>
        </w:tc>
        <w:tc>
          <w:tcPr>
            <w:tcW w:w="7144" w:type="dxa"/>
            <w:vAlign w:val="center"/>
          </w:tcPr>
          <w:p w14:paraId="4E30D8CB">
            <w:pPr>
              <w:spacing w:after="0" w:line="300" w:lineRule="auto"/>
            </w:pPr>
            <w:r>
              <w:rPr>
                <w:rFonts w:ascii="Times New Roman" w:hAnsi="Times New Roman" w:eastAsia="仿宋"/>
                <w:b w:val="0"/>
                <w:sz w:val="21"/>
              </w:rPr>
              <w:t>提供主要镇街指标表、主要镇街间OD联系矩阵、城市间货运联系矩阵、主要高速出入口统计表、</w:t>
            </w:r>
            <w:r>
              <w:rPr>
                <w:rFonts w:hint="eastAsia" w:ascii="Times New Roman" w:hAnsi="Times New Roman" w:eastAsia="仿宋"/>
                <w:b w:val="0"/>
                <w:sz w:val="21"/>
              </w:rPr>
              <w:t>普通公路交调点车流分布图表、</w:t>
            </w:r>
            <w:r>
              <w:rPr>
                <w:rFonts w:ascii="Times New Roman" w:hAnsi="Times New Roman" w:eastAsia="仿宋"/>
                <w:b w:val="0"/>
                <w:sz w:val="21"/>
              </w:rPr>
              <w:t>通道流向图、时间变化图、城市间货运联系图及可编辑图表源文件。</w:t>
            </w:r>
          </w:p>
        </w:tc>
      </w:tr>
      <w:tr w14:paraId="2481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1" w:type="dxa"/>
            <w:vAlign w:val="center"/>
          </w:tcPr>
          <w:p w14:paraId="3ADBA7F7">
            <w:pPr>
              <w:spacing w:after="0" w:line="300" w:lineRule="auto"/>
              <w:jc w:val="center"/>
            </w:pPr>
            <w:r>
              <w:rPr>
                <w:rFonts w:ascii="Times New Roman" w:hAnsi="Times New Roman" w:eastAsia="仿宋"/>
                <w:b w:val="0"/>
                <w:sz w:val="21"/>
              </w:rPr>
              <w:t>纸质成果</w:t>
            </w:r>
          </w:p>
        </w:tc>
        <w:tc>
          <w:tcPr>
            <w:tcW w:w="7144" w:type="dxa"/>
            <w:vAlign w:val="center"/>
          </w:tcPr>
          <w:p w14:paraId="2A730FE9">
            <w:pPr>
              <w:spacing w:after="0" w:line="300" w:lineRule="auto"/>
            </w:pPr>
            <w:r>
              <w:rPr>
                <w:rFonts w:ascii="Times New Roman" w:hAnsi="Times New Roman" w:eastAsia="仿宋"/>
                <w:b w:val="0"/>
                <w:sz w:val="21"/>
              </w:rPr>
              <w:t>年度总研究报告提交不少于50本高质量纸质版；月度</w:t>
            </w:r>
            <w:r>
              <w:rPr>
                <w:rFonts w:hint="eastAsia" w:ascii="Times New Roman" w:hAnsi="Times New Roman" w:eastAsia="仿宋"/>
                <w:b w:val="0"/>
                <w:sz w:val="21"/>
                <w:lang w:eastAsia="zh-CN"/>
              </w:rPr>
              <w:t>、季度</w:t>
            </w:r>
            <w:r>
              <w:rPr>
                <w:rFonts w:ascii="Times New Roman" w:hAnsi="Times New Roman" w:eastAsia="仿宋"/>
                <w:b w:val="0"/>
                <w:sz w:val="21"/>
              </w:rPr>
              <w:t>报告纸质版数量由采购人根据实际工作需要确认。</w:t>
            </w:r>
          </w:p>
        </w:tc>
      </w:tr>
      <w:tr w14:paraId="34BE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1" w:type="dxa"/>
            <w:vAlign w:val="center"/>
          </w:tcPr>
          <w:p w14:paraId="5852F872">
            <w:pPr>
              <w:spacing w:after="0" w:line="300" w:lineRule="auto"/>
              <w:jc w:val="center"/>
            </w:pPr>
            <w:r>
              <w:rPr>
                <w:rFonts w:ascii="Times New Roman" w:hAnsi="Times New Roman" w:eastAsia="仿宋"/>
                <w:b w:val="0"/>
                <w:sz w:val="21"/>
              </w:rPr>
              <w:t>印刷要求</w:t>
            </w:r>
          </w:p>
        </w:tc>
        <w:tc>
          <w:tcPr>
            <w:tcW w:w="7144" w:type="dxa"/>
            <w:vAlign w:val="center"/>
          </w:tcPr>
          <w:p w14:paraId="38827C2E">
            <w:pPr>
              <w:spacing w:after="0" w:line="300" w:lineRule="auto"/>
            </w:pPr>
            <w:r>
              <w:rPr>
                <w:rFonts w:ascii="Times New Roman" w:hAnsi="Times New Roman" w:eastAsia="仿宋"/>
                <w:b w:val="0"/>
                <w:sz w:val="21"/>
              </w:rPr>
              <w:t>正式年度总研究报告采用A4规格或采购人确认的其他规格；内页不低于80克胶版纸，封面不低于200克铜版纸；图表页可采用彩色印刷，排版和封面设计须经采购人审核确认后印制。</w:t>
            </w:r>
          </w:p>
        </w:tc>
      </w:tr>
      <w:tr w14:paraId="5EC8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701" w:type="dxa"/>
            <w:vAlign w:val="center"/>
          </w:tcPr>
          <w:p w14:paraId="69014FB8">
            <w:pPr>
              <w:spacing w:after="0" w:line="300" w:lineRule="auto"/>
              <w:jc w:val="center"/>
            </w:pPr>
            <w:r>
              <w:rPr>
                <w:rFonts w:ascii="Times New Roman" w:hAnsi="Times New Roman" w:eastAsia="仿宋"/>
                <w:b w:val="0"/>
                <w:sz w:val="21"/>
              </w:rPr>
              <w:t>电子版要求</w:t>
            </w:r>
          </w:p>
        </w:tc>
        <w:tc>
          <w:tcPr>
            <w:tcW w:w="7144" w:type="dxa"/>
            <w:vAlign w:val="center"/>
          </w:tcPr>
          <w:p w14:paraId="2E2B1E7E">
            <w:pPr>
              <w:spacing w:after="0" w:line="300" w:lineRule="auto"/>
            </w:pPr>
            <w:r>
              <w:rPr>
                <w:rFonts w:ascii="Times New Roman" w:hAnsi="Times New Roman" w:eastAsia="仿宋"/>
                <w:b w:val="0"/>
                <w:sz w:val="21"/>
              </w:rPr>
              <w:t>提供可编辑.docx格式、高清PDF版本、主要图表源文件及JPG/PNG图片。电子文件应无病毒、无密码限制，目录结构清晰，数据完整可读取。</w:t>
            </w:r>
          </w:p>
        </w:tc>
      </w:tr>
    </w:tbl>
    <w:p w14:paraId="02C0D7E6">
      <w:pPr>
        <w:spacing w:after="80" w:line="360" w:lineRule="auto"/>
      </w:pPr>
    </w:p>
    <w:p w14:paraId="6BA1C560">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（五）履行期限与进度安排</w:t>
      </w:r>
    </w:p>
    <w:p w14:paraId="73442A5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项目服务周期为一年。关键时间节点如下：</w:t>
      </w:r>
    </w:p>
    <w:tbl>
      <w:tblPr>
        <w:tblStyle w:val="3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577"/>
      </w:tblGrid>
      <w:tr w14:paraId="35D2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268" w:type="dxa"/>
            <w:shd w:val="clear" w:color="auto" w:fill="FFFFFF" w:themeFill="background1"/>
            <w:vAlign w:val="center"/>
          </w:tcPr>
          <w:p w14:paraId="7B3EB0F7">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时间节点</w:t>
            </w:r>
          </w:p>
        </w:tc>
        <w:tc>
          <w:tcPr>
            <w:tcW w:w="6577" w:type="dxa"/>
            <w:shd w:val="clear" w:color="auto" w:fill="FFFFFF" w:themeFill="background1"/>
            <w:vAlign w:val="center"/>
          </w:tcPr>
          <w:p w14:paraId="42710C72">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工作内容</w:t>
            </w:r>
          </w:p>
        </w:tc>
      </w:tr>
      <w:tr w14:paraId="393B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8" w:type="dxa"/>
            <w:vAlign w:val="center"/>
          </w:tcPr>
          <w:p w14:paraId="6C9B1244">
            <w:pPr>
              <w:spacing w:after="0" w:line="300" w:lineRule="auto"/>
              <w:jc w:val="center"/>
            </w:pPr>
            <w:r>
              <w:rPr>
                <w:rFonts w:ascii="Times New Roman" w:hAnsi="Times New Roman" w:eastAsia="仿宋"/>
                <w:b w:val="0"/>
                <w:sz w:val="21"/>
              </w:rPr>
              <w:t>合同签订后10个工作日内</w:t>
            </w:r>
          </w:p>
        </w:tc>
        <w:tc>
          <w:tcPr>
            <w:tcW w:w="6577" w:type="dxa"/>
            <w:vAlign w:val="center"/>
          </w:tcPr>
          <w:p w14:paraId="35C89D50">
            <w:pPr>
              <w:spacing w:after="0" w:line="300" w:lineRule="auto"/>
            </w:pPr>
            <w:r>
              <w:rPr>
                <w:rFonts w:ascii="Times New Roman" w:hAnsi="Times New Roman" w:eastAsia="仿宋"/>
                <w:b w:val="0"/>
                <w:sz w:val="21"/>
              </w:rPr>
              <w:t>组建项目组，完成启动沟通，明确数据交接、脱敏、质量校核和成果报送机制。</w:t>
            </w:r>
          </w:p>
        </w:tc>
      </w:tr>
      <w:tr w14:paraId="69D4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8" w:type="dxa"/>
            <w:vAlign w:val="center"/>
          </w:tcPr>
          <w:p w14:paraId="5DEE8B1A">
            <w:pPr>
              <w:spacing w:after="0" w:line="300" w:lineRule="auto"/>
              <w:jc w:val="center"/>
              <w:rPr>
                <w:rFonts w:ascii="Times New Roman" w:hAnsi="Times New Roman" w:eastAsia="仿宋"/>
                <w:b w:val="0"/>
                <w:sz w:val="21"/>
              </w:rPr>
            </w:pPr>
            <w:r>
              <w:rPr>
                <w:rFonts w:ascii="Times New Roman" w:hAnsi="Times New Roman" w:eastAsia="仿宋"/>
                <w:b w:val="0"/>
                <w:sz w:val="21"/>
              </w:rPr>
              <w:t>每个服务月结束后5个工作日内</w:t>
            </w:r>
          </w:p>
        </w:tc>
        <w:tc>
          <w:tcPr>
            <w:tcW w:w="6577" w:type="dxa"/>
            <w:vAlign w:val="center"/>
          </w:tcPr>
          <w:p w14:paraId="62E10925">
            <w:pPr>
              <w:spacing w:after="0" w:line="300" w:lineRule="auto"/>
              <w:jc w:val="center"/>
              <w:rPr>
                <w:rFonts w:ascii="Times New Roman" w:hAnsi="Times New Roman" w:eastAsia="仿宋"/>
                <w:b w:val="0"/>
                <w:sz w:val="21"/>
              </w:rPr>
            </w:pPr>
            <w:r>
              <w:rPr>
                <w:rFonts w:ascii="Times New Roman" w:hAnsi="Times New Roman" w:eastAsia="仿宋"/>
                <w:b w:val="0"/>
                <w:sz w:val="21"/>
              </w:rPr>
              <w:t>提交该服务月《东莞市公路货运月度监测报告》，同步提交必要的数据质量说明、主要镇街指标表和图表成果。</w:t>
            </w:r>
          </w:p>
        </w:tc>
      </w:tr>
      <w:tr w14:paraId="6C11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68" w:type="dxa"/>
            <w:shd w:val="clear" w:color="auto" w:fill="auto"/>
            <w:vAlign w:val="center"/>
          </w:tcPr>
          <w:p w14:paraId="0CE5B24B">
            <w:pPr>
              <w:spacing w:after="0" w:line="300" w:lineRule="auto"/>
              <w:jc w:val="center"/>
              <w:rPr>
                <w:rFonts w:ascii="Times New Roman" w:hAnsi="Times New Roman" w:eastAsia="仿宋"/>
                <w:b w:val="0"/>
                <w:sz w:val="21"/>
                <w:lang w:val="en-US" w:eastAsia="en-US"/>
              </w:rPr>
            </w:pPr>
            <w:r>
              <w:rPr>
                <w:rFonts w:ascii="Times New Roman" w:hAnsi="Times New Roman" w:eastAsia="仿宋"/>
                <w:b w:val="0"/>
                <w:sz w:val="21"/>
              </w:rPr>
              <w:t>每个服务季度结束后10个工作日内</w:t>
            </w:r>
          </w:p>
        </w:tc>
        <w:tc>
          <w:tcPr>
            <w:tcW w:w="6577" w:type="dxa"/>
            <w:shd w:val="clear" w:color="auto" w:fill="auto"/>
            <w:vAlign w:val="center"/>
          </w:tcPr>
          <w:p w14:paraId="34719E0C">
            <w:pPr>
              <w:spacing w:after="0" w:line="300" w:lineRule="auto"/>
              <w:jc w:val="center"/>
              <w:rPr>
                <w:rFonts w:ascii="Times New Roman" w:hAnsi="Times New Roman" w:eastAsia="仿宋"/>
                <w:b w:val="0"/>
                <w:sz w:val="21"/>
                <w:lang w:val="en-US" w:eastAsia="en-US"/>
              </w:rPr>
            </w:pPr>
            <w:r>
              <w:rPr>
                <w:rFonts w:ascii="Times New Roman" w:hAnsi="Times New Roman" w:eastAsia="仿宋"/>
                <w:b w:val="0"/>
                <w:sz w:val="21"/>
              </w:rPr>
              <w:t>提交该季度《东莞市公路货运季度监测报告》，同步提交必要的数据质量说明、主要镇街指标表和图表成果。</w:t>
            </w:r>
          </w:p>
        </w:tc>
      </w:tr>
      <w:tr w14:paraId="0356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8" w:type="dxa"/>
            <w:vAlign w:val="center"/>
          </w:tcPr>
          <w:p w14:paraId="521AC8B1">
            <w:pPr>
              <w:spacing w:after="0" w:line="300" w:lineRule="auto"/>
              <w:jc w:val="center"/>
            </w:pPr>
            <w:r>
              <w:rPr>
                <w:rFonts w:ascii="Times New Roman" w:hAnsi="Times New Roman" w:eastAsia="仿宋"/>
                <w:b w:val="0"/>
                <w:sz w:val="21"/>
              </w:rPr>
              <w:t>服务期中期</w:t>
            </w:r>
          </w:p>
        </w:tc>
        <w:tc>
          <w:tcPr>
            <w:tcW w:w="6577" w:type="dxa"/>
            <w:vAlign w:val="center"/>
          </w:tcPr>
          <w:p w14:paraId="33564896">
            <w:pPr>
              <w:spacing w:after="0" w:line="300" w:lineRule="auto"/>
            </w:pPr>
            <w:r>
              <w:rPr>
                <w:rFonts w:ascii="Times New Roman" w:hAnsi="Times New Roman" w:eastAsia="仿宋"/>
                <w:b w:val="0"/>
                <w:sz w:val="21"/>
              </w:rPr>
              <w:t>根据采购人要求开展阶段性汇报，复核主要镇街分析口径、主要指标体系和年度报告框架。</w:t>
            </w:r>
          </w:p>
        </w:tc>
      </w:tr>
      <w:tr w14:paraId="7DD6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8" w:type="dxa"/>
            <w:vAlign w:val="center"/>
          </w:tcPr>
          <w:p w14:paraId="285C6B47">
            <w:pPr>
              <w:spacing w:after="0" w:line="300" w:lineRule="auto"/>
              <w:jc w:val="center"/>
            </w:pPr>
            <w:r>
              <w:rPr>
                <w:rFonts w:ascii="Times New Roman" w:hAnsi="Times New Roman" w:eastAsia="仿宋"/>
                <w:b w:val="0"/>
                <w:sz w:val="21"/>
              </w:rPr>
              <w:t>服务期结束前20个工作日</w:t>
            </w:r>
          </w:p>
        </w:tc>
        <w:tc>
          <w:tcPr>
            <w:tcW w:w="6577" w:type="dxa"/>
            <w:vAlign w:val="center"/>
          </w:tcPr>
          <w:p w14:paraId="32D1D07F">
            <w:pPr>
              <w:spacing w:after="0" w:line="300" w:lineRule="auto"/>
            </w:pPr>
            <w:r>
              <w:rPr>
                <w:rFonts w:ascii="Times New Roman" w:hAnsi="Times New Roman" w:eastAsia="仿宋"/>
                <w:b w:val="0"/>
                <w:sz w:val="21"/>
              </w:rPr>
              <w:t>提交年度总研究报告送审稿，配合采购人组织审核或专家评审，并按意见修改完善。</w:t>
            </w:r>
          </w:p>
        </w:tc>
      </w:tr>
      <w:tr w14:paraId="4FCB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8" w:type="dxa"/>
            <w:vAlign w:val="center"/>
          </w:tcPr>
          <w:p w14:paraId="4FC0614C">
            <w:pPr>
              <w:spacing w:after="0" w:line="300" w:lineRule="auto"/>
              <w:jc w:val="center"/>
            </w:pPr>
            <w:r>
              <w:rPr>
                <w:rFonts w:ascii="Times New Roman" w:hAnsi="Times New Roman" w:eastAsia="仿宋"/>
                <w:b w:val="0"/>
                <w:sz w:val="21"/>
              </w:rPr>
              <w:t>服务期结束前</w:t>
            </w:r>
          </w:p>
        </w:tc>
        <w:tc>
          <w:tcPr>
            <w:tcW w:w="6577" w:type="dxa"/>
            <w:vAlign w:val="center"/>
          </w:tcPr>
          <w:p w14:paraId="0A1F3179">
            <w:pPr>
              <w:spacing w:after="0" w:line="300" w:lineRule="auto"/>
            </w:pPr>
            <w:r>
              <w:rPr>
                <w:rFonts w:ascii="Times New Roman" w:hAnsi="Times New Roman" w:eastAsia="仿宋"/>
                <w:b w:val="0"/>
                <w:sz w:val="21"/>
              </w:rPr>
              <w:t>提交最终成果文件、纸质成果和电子成果，配合完成项目验收及资料归档。</w:t>
            </w:r>
          </w:p>
        </w:tc>
      </w:tr>
    </w:tbl>
    <w:p w14:paraId="49FE043B">
      <w:pPr>
        <w:spacing w:after="80" w:line="360" w:lineRule="auto"/>
      </w:pPr>
    </w:p>
    <w:p w14:paraId="0487F20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（六）服务商资质要求</w:t>
      </w:r>
    </w:p>
    <w:p w14:paraId="2CE721B0">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参照《中华人民共和国政府采购法》第二十二条规定，服务商须符合以下条件：</w:t>
      </w:r>
    </w:p>
    <w:p w14:paraId="6871D893">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1.具有独立承担民事责任的能力。</w:t>
      </w:r>
    </w:p>
    <w:p w14:paraId="6B293C9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2.具有良好的商业信誉和健全的财务会计制度。</w:t>
      </w:r>
    </w:p>
    <w:p w14:paraId="1EA4D770">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3.具有履行合同所必需的设备、专业技术能力和数据处理能力。</w:t>
      </w:r>
    </w:p>
    <w:p w14:paraId="473FE5FD">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4.具有依法缴纳税收和社会保障资金的良好记录。</w:t>
      </w:r>
    </w:p>
    <w:p w14:paraId="652ECC5D">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加采购活动前三年内，在经营活动中没有重大违法记录。服务商未被列入“信用中国”网站（www.creditchina.gov.cn）失信被执行人、重大税收违法失信主体或政府采购严重违法失信行为记录名单；不处于中国政府采购网（www.ccgp.gov.cn）政府采购严重违法失信行为信息记录中的禁止参加政府采购活动期间。</w:t>
      </w:r>
    </w:p>
    <w:p w14:paraId="0BCA73B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6.本项目不接受联合体参与，严禁转包或违法分包。</w:t>
      </w:r>
    </w:p>
    <w:p w14:paraId="2B736A0C">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（七）报价要求</w:t>
      </w:r>
    </w:p>
    <w:p w14:paraId="593F124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最高限价为人民币320000.00元（大写：叁拾贰万元整）。响应报价超过最高限价的，按无效响应处理。报价应包含完成本项目所需的数据处理、分析建模、报告编制、图表制作、印刷、专家咨询、沟通汇报、税费及其他相关费用。</w:t>
      </w:r>
    </w:p>
    <w:p w14:paraId="30522167">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（八）响应报价说明</w:t>
      </w:r>
    </w:p>
    <w:p w14:paraId="729D4F6D">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响应资料必须加盖公章后密封，并在封面注明投件单位、联系人及联系电话，在封口处加贴封条并加盖公章。未按要求密封盖章或逾期送达的文件将视为无效。报价材料包括：</w:t>
      </w:r>
    </w:p>
    <w:p w14:paraId="0ED71FE0">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1.《营业执照》复印件、法定代表人身份证复印件</w:t>
      </w:r>
      <w:r>
        <w:rPr>
          <w:rFonts w:hint="eastAsia" w:ascii="仿宋_GB2312" w:hAnsi="仿宋_GB2312" w:eastAsia="仿宋_GB2312" w:cs="仿宋_GB2312"/>
          <w:color w:val="1F1F1F"/>
          <w:sz w:val="32"/>
          <w:szCs w:val="32"/>
          <w:lang w:val="en-US" w:eastAsia="zh-CN"/>
        </w:rPr>
        <w:t>（正、反面）</w:t>
      </w:r>
      <w:r>
        <w:rPr>
          <w:rFonts w:hint="eastAsia" w:ascii="仿宋_GB2312" w:hAnsi="仿宋_GB2312" w:eastAsia="仿宋_GB2312" w:cs="仿宋_GB2312"/>
          <w:sz w:val="32"/>
          <w:szCs w:val="32"/>
        </w:rPr>
        <w:t>；</w:t>
      </w:r>
    </w:p>
    <w:p w14:paraId="195BC7FE">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2.报价表（见附件1）；</w:t>
      </w:r>
    </w:p>
    <w:p w14:paraId="1061E352">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3.资格条件承诺函（见附件2）；</w:t>
      </w:r>
    </w:p>
    <w:p w14:paraId="1E742A3B">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4.服务商信用查询截图（查询渠道：“信用中国”（www.creditchina.gov.cn）、“中国政府采购网”（http://www.ccgp.gov.cn/），查询时间截点：采购公告发布之日至响应文件提交截止时间前）；</w:t>
      </w:r>
    </w:p>
    <w:p w14:paraId="489C6FD9">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5.法定代表人授权书（模板见附件3，无授权代表可不提供）；</w:t>
      </w:r>
    </w:p>
    <w:p w14:paraId="401B9DE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6.根据本采购需求书编制的技术服务方案、项目团队、同类业绩、服务响应和其他证明材料</w:t>
      </w:r>
      <w:r>
        <w:rPr>
          <w:rFonts w:hint="eastAsia" w:ascii="仿宋_GB2312" w:hAnsi="仿宋_GB2312" w:eastAsia="仿宋_GB2312" w:cs="仿宋_GB2312"/>
          <w:color w:val="1F1F1F"/>
          <w:sz w:val="32"/>
          <w:szCs w:val="32"/>
          <w:lang w:val="en-US" w:eastAsia="zh-CN"/>
        </w:rPr>
        <w:t>（建议列索引表）</w:t>
      </w:r>
      <w:r>
        <w:rPr>
          <w:rFonts w:hint="eastAsia" w:ascii="仿宋_GB2312" w:hAnsi="仿宋_GB2312" w:eastAsia="仿宋_GB2312" w:cs="仿宋_GB2312"/>
          <w:sz w:val="32"/>
          <w:szCs w:val="32"/>
        </w:rPr>
        <w:t>。技术服务方案应重点说明数据处理与安全管理、主要镇街时空分析方法、高速货运数据分析方法、非现场执法数据分析方法、车辆身份数据应用方法、指标体系、成果样式、质量控制、进度安排和人员分工。</w:t>
      </w:r>
    </w:p>
    <w:p w14:paraId="0DBA2115">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（九）支付方式</w:t>
      </w:r>
    </w:p>
    <w:p w14:paraId="7F14DE03">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1.技术服务费由采购人分期支付服务商。</w:t>
      </w:r>
    </w:p>
    <w:p w14:paraId="117E5D80">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2.第一期：合同签订后，采购人在收到服务商提供的合法有效等额发票后15个工作日内支付合同总价的60%。</w:t>
      </w:r>
    </w:p>
    <w:p w14:paraId="61512A67">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3.第二期：采购人在对应财政预算执行周期内完成第二期款项支付，采购人在取得服务商提供的合法等额发票后向服务商支付合同总价的 40%。服务商须在合同约定的期限内，按合同服务内容和技术要求按时向采购人提交月度、季度和年度项目研究报告。若服务商提交的编制成果无法达到采购人要求，服务商需无条件应采购人要求进行修改直至通过采购人审核。</w:t>
      </w:r>
    </w:p>
    <w:p w14:paraId="26F1196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4.因服务商原因导致付款时间迟延的，由服务商承担相应责任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采购人财政支付审批流程不计入付款时间。本项目支付相关细则、时间约束及权责约定最终以双方签订的正式合同文本为准。</w:t>
      </w:r>
    </w:p>
    <w:p w14:paraId="30EFC8B5">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三、评审标准</w:t>
      </w:r>
    </w:p>
    <w:p w14:paraId="0566EC8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本项目采用综合评分法，所有响应文件的评分分别按技术部分、商务部分和报价部分进行打分，满分100分。其中，技术部分</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分，商务部分1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分，报价部分</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w:t>
      </w:r>
    </w:p>
    <w:tbl>
      <w:tblPr>
        <w:tblStyle w:val="39"/>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701"/>
        <w:gridCol w:w="850"/>
        <w:gridCol w:w="5159"/>
      </w:tblGrid>
      <w:tr w14:paraId="0D89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134" w:type="dxa"/>
            <w:shd w:val="clear" w:color="auto" w:fill="auto"/>
            <w:vAlign w:val="center"/>
          </w:tcPr>
          <w:p w14:paraId="757B6156">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类别</w:t>
            </w:r>
          </w:p>
        </w:tc>
        <w:tc>
          <w:tcPr>
            <w:tcW w:w="1701" w:type="dxa"/>
            <w:shd w:val="clear" w:color="auto" w:fill="auto"/>
            <w:vAlign w:val="center"/>
          </w:tcPr>
          <w:p w14:paraId="3960E978">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评审因素</w:t>
            </w:r>
          </w:p>
        </w:tc>
        <w:tc>
          <w:tcPr>
            <w:tcW w:w="850" w:type="dxa"/>
            <w:shd w:val="clear" w:color="auto" w:fill="auto"/>
            <w:vAlign w:val="center"/>
          </w:tcPr>
          <w:p w14:paraId="4B186B04">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分值</w:t>
            </w:r>
          </w:p>
        </w:tc>
        <w:tc>
          <w:tcPr>
            <w:tcW w:w="5159" w:type="dxa"/>
            <w:shd w:val="clear" w:color="auto" w:fill="auto"/>
            <w:vAlign w:val="center"/>
          </w:tcPr>
          <w:p w14:paraId="003A34F1">
            <w:pPr>
              <w:spacing w:after="0" w:line="300" w:lineRule="auto"/>
              <w:jc w:val="center"/>
              <w:rPr>
                <w:rFonts w:hint="eastAsia" w:ascii="国标黑体" w:hAnsi="国标黑体" w:eastAsia="国标黑体" w:cs="国标黑体"/>
                <w:b w:val="0"/>
                <w:bCs/>
              </w:rPr>
            </w:pPr>
            <w:r>
              <w:rPr>
                <w:rFonts w:hint="eastAsia" w:ascii="国标黑体" w:hAnsi="国标黑体" w:eastAsia="国标黑体" w:cs="国标黑体"/>
                <w:b w:val="0"/>
                <w:bCs/>
                <w:sz w:val="21"/>
              </w:rPr>
              <w:t>评审重点及标准</w:t>
            </w:r>
          </w:p>
        </w:tc>
      </w:tr>
      <w:tr w14:paraId="4B26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14:paraId="0C178796">
            <w:pPr>
              <w:spacing w:after="0" w:line="300" w:lineRule="auto"/>
              <w:jc w:val="center"/>
            </w:pPr>
            <w:r>
              <w:rPr>
                <w:rFonts w:ascii="Times New Roman" w:hAnsi="Times New Roman" w:eastAsia="仿宋"/>
                <w:b w:val="0"/>
                <w:sz w:val="21"/>
              </w:rPr>
              <w:t>技术部分</w:t>
            </w:r>
          </w:p>
        </w:tc>
        <w:tc>
          <w:tcPr>
            <w:tcW w:w="1701" w:type="dxa"/>
            <w:vAlign w:val="center"/>
          </w:tcPr>
          <w:p w14:paraId="543141EF">
            <w:pPr>
              <w:spacing w:after="0" w:line="300" w:lineRule="auto"/>
              <w:rPr>
                <w:rFonts w:hint="eastAsia" w:eastAsia="仿宋"/>
                <w:lang w:eastAsia="zh-CN"/>
              </w:rPr>
            </w:pPr>
            <w:r>
              <w:rPr>
                <w:rFonts w:hint="eastAsia" w:ascii="Times New Roman" w:hAnsi="Times New Roman" w:eastAsia="仿宋"/>
                <w:b w:val="0"/>
                <w:sz w:val="21"/>
              </w:rPr>
              <w:t>项目需求分析</w:t>
            </w:r>
            <w:r>
              <w:rPr>
                <w:rFonts w:hint="eastAsia" w:ascii="Times New Roman" w:hAnsi="Times New Roman" w:eastAsia="仿宋"/>
                <w:b w:val="0"/>
                <w:sz w:val="21"/>
                <w:lang w:eastAsia="zh-CN"/>
              </w:rPr>
              <w:t>方案</w:t>
            </w:r>
          </w:p>
        </w:tc>
        <w:tc>
          <w:tcPr>
            <w:tcW w:w="850" w:type="dxa"/>
            <w:vAlign w:val="center"/>
          </w:tcPr>
          <w:p w14:paraId="01AA12B4">
            <w:pPr>
              <w:spacing w:after="0" w:line="300" w:lineRule="auto"/>
              <w:jc w:val="center"/>
            </w:pPr>
            <w:r>
              <w:rPr>
                <w:rFonts w:ascii="Times New Roman" w:hAnsi="Times New Roman" w:eastAsia="仿宋"/>
                <w:b w:val="0"/>
                <w:sz w:val="21"/>
              </w:rPr>
              <w:t>10分</w:t>
            </w:r>
          </w:p>
        </w:tc>
        <w:tc>
          <w:tcPr>
            <w:tcW w:w="5159" w:type="dxa"/>
            <w:vAlign w:val="center"/>
          </w:tcPr>
          <w:p w14:paraId="37D695F5">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服务商是否</w:t>
            </w:r>
            <w:r>
              <w:rPr>
                <w:rFonts w:hint="eastAsia" w:ascii="Times New Roman" w:hAnsi="Times New Roman" w:eastAsia="仿宋"/>
                <w:b w:val="0"/>
                <w:sz w:val="21"/>
                <w:lang w:eastAsia="zh-CN"/>
              </w:rPr>
              <w:t>能够</w:t>
            </w:r>
            <w:r>
              <w:rPr>
                <w:rFonts w:hint="eastAsia" w:ascii="Times New Roman" w:hAnsi="Times New Roman" w:eastAsia="仿宋"/>
                <w:b w:val="0"/>
                <w:sz w:val="21"/>
              </w:rPr>
              <w:t>理解东莞公路货运的运行特点、各主要镇街的产业和货运差异、主要通道和高速出入口的作用，以及货运在不同时段的变化规律。</w:t>
            </w:r>
          </w:p>
          <w:p w14:paraId="02EEBEE5">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第一档次</w:t>
            </w:r>
            <w:r>
              <w:rPr>
                <w:rFonts w:hint="eastAsia" w:ascii="Times New Roman" w:hAnsi="Times New Roman" w:eastAsia="仿宋"/>
                <w:b w:val="0"/>
                <w:sz w:val="21"/>
                <w:lang w:eastAsia="zh-CN"/>
              </w:rPr>
              <w:t>（</w:t>
            </w:r>
            <w:r>
              <w:rPr>
                <w:rFonts w:hint="eastAsia" w:ascii="Times New Roman" w:hAnsi="Times New Roman" w:eastAsia="仿宋"/>
                <w:b w:val="0"/>
                <w:sz w:val="21"/>
              </w:rPr>
              <w:t>10分</w:t>
            </w:r>
            <w:r>
              <w:rPr>
                <w:rFonts w:hint="eastAsia" w:ascii="Times New Roman" w:hAnsi="Times New Roman" w:eastAsia="仿宋"/>
                <w:b w:val="0"/>
                <w:sz w:val="21"/>
                <w:lang w:eastAsia="zh-CN"/>
              </w:rPr>
              <w:t>）</w:t>
            </w:r>
            <w:r>
              <w:rPr>
                <w:rFonts w:hint="eastAsia" w:ascii="Times New Roman" w:hAnsi="Times New Roman" w:eastAsia="仿宋"/>
                <w:b w:val="0"/>
                <w:sz w:val="21"/>
              </w:rPr>
              <w:t>：方案内容完全契合并优于项目目标与要解决的问题，能结合货车轨迹、高速货运、非现场执法、车辆身份、普通公路交调点等多源数据提出针对性分析思路，并举例说明镇街差异及管理应用场景。</w:t>
            </w:r>
          </w:p>
          <w:p w14:paraId="48B6DB33">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w:t>
            </w:r>
            <w:r>
              <w:rPr>
                <w:rFonts w:hint="eastAsia" w:ascii="Times New Roman" w:hAnsi="Times New Roman" w:eastAsia="仿宋"/>
                <w:b w:val="0"/>
                <w:sz w:val="21"/>
                <w:lang w:eastAsia="zh-CN"/>
              </w:rPr>
              <w:t>二</w:t>
            </w:r>
            <w:r>
              <w:rPr>
                <w:rFonts w:hint="eastAsia" w:ascii="Times New Roman" w:hAnsi="Times New Roman" w:eastAsia="仿宋"/>
                <w:b w:val="0"/>
                <w:sz w:val="21"/>
              </w:rPr>
              <w:t>档次</w:t>
            </w:r>
            <w:r>
              <w:rPr>
                <w:rFonts w:hint="eastAsia" w:ascii="Times New Roman" w:hAnsi="Times New Roman" w:eastAsia="仿宋"/>
                <w:b w:val="0"/>
                <w:sz w:val="21"/>
                <w:lang w:eastAsia="zh-CN"/>
              </w:rPr>
              <w:t>（</w:t>
            </w:r>
            <w:r>
              <w:rPr>
                <w:rFonts w:hint="eastAsia" w:ascii="Times New Roman" w:hAnsi="Times New Roman" w:eastAsia="仿宋"/>
                <w:b w:val="0"/>
                <w:sz w:val="21"/>
                <w:lang w:val="en-US" w:eastAsia="zh-CN"/>
              </w:rPr>
              <w:t>7</w:t>
            </w:r>
            <w:r>
              <w:rPr>
                <w:rFonts w:hint="eastAsia" w:ascii="Times New Roman" w:hAnsi="Times New Roman" w:eastAsia="仿宋"/>
                <w:b w:val="0"/>
                <w:sz w:val="21"/>
              </w:rPr>
              <w:t>分</w:t>
            </w:r>
            <w:r>
              <w:rPr>
                <w:rFonts w:hint="eastAsia" w:ascii="Times New Roman" w:hAnsi="Times New Roman" w:eastAsia="仿宋"/>
                <w:b w:val="0"/>
                <w:sz w:val="21"/>
                <w:lang w:eastAsia="zh-CN"/>
              </w:rPr>
              <w:t>）</w:t>
            </w:r>
            <w:r>
              <w:rPr>
                <w:rFonts w:hint="eastAsia" w:ascii="Times New Roman" w:hAnsi="Times New Roman" w:eastAsia="仿宋"/>
                <w:b w:val="0"/>
                <w:sz w:val="21"/>
              </w:rPr>
              <w:t>：方案内容涵盖项目主要目标，列出主要分析指标和方向，但结合多源数据和实际管理场景的深度略有不足，针对性一般，个别环节不够清晰。</w:t>
            </w:r>
          </w:p>
          <w:p w14:paraId="39D96222">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第三档次（4分）：方案内容对项目仅有大致认识，对镇街差异和通道分析的针对性不强，分析思路较为笼统，与项目实际结合不够紧密，内容偏泛。</w:t>
            </w:r>
          </w:p>
          <w:p w14:paraId="15191BB3">
            <w:pPr>
              <w:spacing w:after="0" w:line="300" w:lineRule="auto"/>
            </w:pPr>
            <w:r>
              <w:rPr>
                <w:rFonts w:hint="eastAsia" w:ascii="Times New Roman" w:hAnsi="Times New Roman" w:eastAsia="仿宋"/>
                <w:b w:val="0"/>
                <w:sz w:val="21"/>
              </w:rPr>
              <w:t>第四档次（0分）</w:t>
            </w:r>
            <w:r>
              <w:rPr>
                <w:rFonts w:hint="eastAsia" w:ascii="Times New Roman" w:hAnsi="Times New Roman" w:eastAsia="仿宋"/>
                <w:b w:val="0"/>
                <w:sz w:val="21"/>
                <w:lang w:eastAsia="zh-CN"/>
              </w:rPr>
              <w:t>：</w:t>
            </w:r>
            <w:r>
              <w:rPr>
                <w:rFonts w:hint="eastAsia" w:ascii="Times New Roman" w:hAnsi="Times New Roman" w:eastAsia="仿宋"/>
                <w:b w:val="0"/>
                <w:sz w:val="21"/>
              </w:rPr>
              <w:t>未提供项目需求分析</w:t>
            </w:r>
            <w:r>
              <w:rPr>
                <w:rFonts w:hint="eastAsia" w:ascii="Times New Roman" w:hAnsi="Times New Roman" w:eastAsia="仿宋"/>
                <w:b w:val="0"/>
                <w:sz w:val="21"/>
                <w:lang w:eastAsia="zh-CN"/>
              </w:rPr>
              <w:t>方案</w:t>
            </w:r>
            <w:r>
              <w:rPr>
                <w:rFonts w:hint="eastAsia" w:ascii="Times New Roman" w:hAnsi="Times New Roman" w:eastAsia="仿宋"/>
                <w:b w:val="0"/>
                <w:sz w:val="21"/>
              </w:rPr>
              <w:t>。</w:t>
            </w:r>
          </w:p>
        </w:tc>
      </w:tr>
      <w:tr w14:paraId="06CB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14:paraId="1BD2A392">
            <w:pPr>
              <w:spacing w:after="0" w:line="300" w:lineRule="auto"/>
              <w:jc w:val="center"/>
            </w:pPr>
            <w:r>
              <w:rPr>
                <w:rFonts w:ascii="Times New Roman" w:hAnsi="Times New Roman" w:eastAsia="仿宋"/>
                <w:b w:val="0"/>
                <w:sz w:val="21"/>
              </w:rPr>
              <w:t>技术部分</w:t>
            </w:r>
          </w:p>
        </w:tc>
        <w:tc>
          <w:tcPr>
            <w:tcW w:w="1701" w:type="dxa"/>
            <w:vAlign w:val="center"/>
          </w:tcPr>
          <w:p w14:paraId="7AE47C42">
            <w:pPr>
              <w:spacing w:after="0" w:line="300" w:lineRule="auto"/>
            </w:pPr>
            <w:r>
              <w:rPr>
                <w:rFonts w:ascii="Times New Roman" w:hAnsi="Times New Roman" w:eastAsia="仿宋"/>
                <w:b w:val="0"/>
                <w:sz w:val="21"/>
              </w:rPr>
              <w:t>数据处理与质量控制方案</w:t>
            </w:r>
          </w:p>
        </w:tc>
        <w:tc>
          <w:tcPr>
            <w:tcW w:w="850" w:type="dxa"/>
            <w:vAlign w:val="center"/>
          </w:tcPr>
          <w:p w14:paraId="6C0F3C76">
            <w:pPr>
              <w:spacing w:after="0" w:line="300" w:lineRule="auto"/>
              <w:jc w:val="center"/>
            </w:pPr>
            <w:r>
              <w:rPr>
                <w:rFonts w:ascii="Times New Roman" w:hAnsi="Times New Roman" w:eastAsia="仿宋"/>
                <w:b w:val="0"/>
                <w:sz w:val="21"/>
              </w:rPr>
              <w:t>10分</w:t>
            </w:r>
          </w:p>
        </w:tc>
        <w:tc>
          <w:tcPr>
            <w:tcW w:w="5159" w:type="dxa"/>
            <w:vAlign w:val="center"/>
          </w:tcPr>
          <w:p w14:paraId="059B4012">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服务商能否把多来源、较杂乱的原始数据处理干净、处理准确，包括脱敏、清洗、去重、轨迹纠偏、行程切分、空间匹配、异常识别，以及不同数据之间如何校核对齐。</w:t>
            </w:r>
          </w:p>
          <w:p w14:paraId="7A32B8DB">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第一档次</w:t>
            </w:r>
            <w:r>
              <w:rPr>
                <w:rFonts w:hint="eastAsia" w:ascii="Times New Roman" w:hAnsi="Times New Roman" w:eastAsia="仿宋"/>
                <w:b w:val="0"/>
                <w:sz w:val="21"/>
                <w:lang w:eastAsia="zh-CN"/>
              </w:rPr>
              <w:t>（</w:t>
            </w:r>
            <w:r>
              <w:rPr>
                <w:rFonts w:hint="eastAsia" w:ascii="Times New Roman" w:hAnsi="Times New Roman" w:eastAsia="仿宋"/>
                <w:b w:val="0"/>
                <w:sz w:val="21"/>
              </w:rPr>
              <w:t>10分</w:t>
            </w:r>
            <w:r>
              <w:rPr>
                <w:rFonts w:hint="eastAsia" w:ascii="Times New Roman" w:hAnsi="Times New Roman" w:eastAsia="仿宋"/>
                <w:b w:val="0"/>
                <w:sz w:val="21"/>
                <w:lang w:eastAsia="zh-CN"/>
              </w:rPr>
              <w:t>）</w:t>
            </w:r>
            <w:r>
              <w:rPr>
                <w:rFonts w:hint="eastAsia" w:ascii="Times New Roman" w:hAnsi="Times New Roman" w:eastAsia="仿宋"/>
                <w:b w:val="0"/>
                <w:sz w:val="21"/>
              </w:rPr>
              <w:t>：</w:t>
            </w:r>
            <w:r>
              <w:rPr>
                <w:rFonts w:hint="eastAsia" w:ascii="Times New Roman" w:hAnsi="Times New Roman" w:eastAsia="仿宋"/>
                <w:b w:val="0"/>
                <w:sz w:val="21"/>
                <w:lang w:eastAsia="zh-CN"/>
              </w:rPr>
              <w:t>数据</w:t>
            </w:r>
            <w:r>
              <w:rPr>
                <w:rFonts w:hint="eastAsia" w:ascii="Times New Roman" w:hAnsi="Times New Roman" w:eastAsia="仿宋"/>
                <w:b w:val="0"/>
                <w:sz w:val="21"/>
              </w:rPr>
              <w:t>脱敏、清洗、去重、纠偏、切分、匹配、异常识别流程完整，能说明多源数据间的关联校验与误差控制，并有明确的质量检查和数据质量报告机制。</w:t>
            </w:r>
          </w:p>
          <w:p w14:paraId="6753AA3B">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w:t>
            </w:r>
            <w:r>
              <w:rPr>
                <w:rFonts w:hint="eastAsia" w:ascii="Times New Roman" w:hAnsi="Times New Roman" w:eastAsia="仿宋"/>
                <w:b w:val="0"/>
                <w:sz w:val="21"/>
                <w:lang w:eastAsia="zh-CN"/>
              </w:rPr>
              <w:t>二</w:t>
            </w:r>
            <w:r>
              <w:rPr>
                <w:rFonts w:hint="eastAsia" w:ascii="Times New Roman" w:hAnsi="Times New Roman" w:eastAsia="仿宋"/>
                <w:b w:val="0"/>
                <w:sz w:val="21"/>
              </w:rPr>
              <w:t>档次</w:t>
            </w:r>
            <w:r>
              <w:rPr>
                <w:rFonts w:hint="eastAsia" w:ascii="Times New Roman" w:hAnsi="Times New Roman" w:eastAsia="仿宋"/>
                <w:b w:val="0"/>
                <w:sz w:val="21"/>
                <w:lang w:eastAsia="zh-CN"/>
              </w:rPr>
              <w:t>（</w:t>
            </w:r>
            <w:r>
              <w:rPr>
                <w:rFonts w:hint="eastAsia" w:ascii="Times New Roman" w:hAnsi="Times New Roman" w:eastAsia="仿宋"/>
                <w:b w:val="0"/>
                <w:sz w:val="21"/>
                <w:lang w:val="en-US" w:eastAsia="zh-CN"/>
              </w:rPr>
              <w:t>7</w:t>
            </w:r>
            <w:r>
              <w:rPr>
                <w:rFonts w:hint="eastAsia" w:ascii="Times New Roman" w:hAnsi="Times New Roman" w:eastAsia="仿宋"/>
                <w:b w:val="0"/>
                <w:sz w:val="21"/>
              </w:rPr>
              <w:t>分</w:t>
            </w:r>
            <w:r>
              <w:rPr>
                <w:rFonts w:hint="eastAsia" w:ascii="Times New Roman" w:hAnsi="Times New Roman" w:eastAsia="仿宋"/>
                <w:b w:val="0"/>
                <w:sz w:val="21"/>
                <w:lang w:eastAsia="zh-CN"/>
              </w:rPr>
              <w:t>）</w:t>
            </w:r>
            <w:r>
              <w:rPr>
                <w:rFonts w:hint="eastAsia" w:ascii="Times New Roman" w:hAnsi="Times New Roman" w:eastAsia="仿宋"/>
                <w:b w:val="0"/>
                <w:sz w:val="21"/>
              </w:rPr>
              <w:t>：</w:t>
            </w:r>
            <w:r>
              <w:rPr>
                <w:rFonts w:hint="eastAsia" w:ascii="Times New Roman" w:hAnsi="Times New Roman" w:eastAsia="仿宋"/>
                <w:b w:val="0"/>
                <w:sz w:val="21"/>
                <w:lang w:eastAsia="zh-CN"/>
              </w:rPr>
              <w:t>数据</w:t>
            </w:r>
            <w:r>
              <w:rPr>
                <w:rFonts w:hint="eastAsia" w:ascii="Times New Roman" w:hAnsi="Times New Roman" w:eastAsia="仿宋"/>
                <w:b w:val="0"/>
                <w:sz w:val="21"/>
              </w:rPr>
              <w:t>处理流程较为完整，能满足常规分析需要，但对误差控制、关联校验或质量校核的说明略显简单，质量保障机制不够健全。</w:t>
            </w:r>
          </w:p>
          <w:p w14:paraId="4595950C">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第三档次（4分）：</w:t>
            </w:r>
            <w:r>
              <w:rPr>
                <w:rFonts w:hint="eastAsia" w:ascii="Times New Roman" w:hAnsi="Times New Roman" w:eastAsia="仿宋"/>
                <w:b w:val="0"/>
                <w:sz w:val="21"/>
                <w:lang w:eastAsia="zh-CN"/>
              </w:rPr>
              <w:t>方案</w:t>
            </w:r>
            <w:r>
              <w:rPr>
                <w:rFonts w:hint="eastAsia" w:ascii="Times New Roman" w:hAnsi="Times New Roman" w:eastAsia="仿宋"/>
                <w:b w:val="0"/>
                <w:sz w:val="21"/>
              </w:rPr>
              <w:t>仅列出</w:t>
            </w:r>
            <w:r>
              <w:rPr>
                <w:rFonts w:hint="eastAsia" w:ascii="Times New Roman" w:hAnsi="Times New Roman" w:eastAsia="仿宋"/>
                <w:b w:val="0"/>
                <w:sz w:val="21"/>
                <w:lang w:eastAsia="zh-CN"/>
              </w:rPr>
              <w:t>数据</w:t>
            </w:r>
            <w:r>
              <w:rPr>
                <w:rFonts w:hint="eastAsia" w:ascii="Times New Roman" w:hAnsi="Times New Roman" w:eastAsia="仿宋"/>
                <w:b w:val="0"/>
                <w:sz w:val="21"/>
              </w:rPr>
              <w:t>基本处理步骤，缺少对数据关联校验、误差控制和质量校核方法的清晰说明，处理结果的可靠性一般。</w:t>
            </w:r>
          </w:p>
          <w:p w14:paraId="734819C3">
            <w:pPr>
              <w:spacing w:after="0" w:line="300" w:lineRule="auto"/>
            </w:pPr>
            <w:r>
              <w:rPr>
                <w:rFonts w:hint="eastAsia" w:ascii="Times New Roman" w:hAnsi="Times New Roman" w:eastAsia="仿宋"/>
                <w:b w:val="0"/>
                <w:sz w:val="21"/>
              </w:rPr>
              <w:t>第四档次（0分）：未提供</w:t>
            </w:r>
            <w:r>
              <w:rPr>
                <w:rFonts w:ascii="Times New Roman" w:hAnsi="Times New Roman" w:eastAsia="仿宋"/>
                <w:b w:val="0"/>
                <w:sz w:val="21"/>
              </w:rPr>
              <w:t>数据处理与质量控制方案</w:t>
            </w:r>
            <w:r>
              <w:rPr>
                <w:rFonts w:hint="eastAsia" w:ascii="Times New Roman" w:hAnsi="Times New Roman" w:eastAsia="仿宋"/>
                <w:b w:val="0"/>
                <w:sz w:val="21"/>
              </w:rPr>
              <w:t>。</w:t>
            </w:r>
          </w:p>
        </w:tc>
      </w:tr>
      <w:tr w14:paraId="51F3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134" w:type="dxa"/>
            <w:vAlign w:val="center"/>
          </w:tcPr>
          <w:p w14:paraId="1864E1E5">
            <w:pPr>
              <w:spacing w:after="0" w:line="300" w:lineRule="auto"/>
              <w:jc w:val="center"/>
            </w:pPr>
            <w:r>
              <w:rPr>
                <w:rFonts w:ascii="Times New Roman" w:hAnsi="Times New Roman" w:eastAsia="仿宋"/>
                <w:b w:val="0"/>
                <w:sz w:val="21"/>
              </w:rPr>
              <w:t>技术部分</w:t>
            </w:r>
          </w:p>
        </w:tc>
        <w:tc>
          <w:tcPr>
            <w:tcW w:w="1701" w:type="dxa"/>
            <w:vAlign w:val="center"/>
          </w:tcPr>
          <w:p w14:paraId="64CA80A0">
            <w:pPr>
              <w:spacing w:after="0" w:line="300" w:lineRule="auto"/>
            </w:pPr>
            <w:r>
              <w:rPr>
                <w:rFonts w:hint="eastAsia" w:ascii="Times New Roman" w:hAnsi="Times New Roman" w:eastAsia="仿宋"/>
                <w:b w:val="0"/>
                <w:sz w:val="21"/>
                <w:lang w:val="en-US" w:eastAsia="zh-CN"/>
              </w:rPr>
              <w:t>数据关联分析方案</w:t>
            </w:r>
          </w:p>
        </w:tc>
        <w:tc>
          <w:tcPr>
            <w:tcW w:w="850" w:type="dxa"/>
            <w:vAlign w:val="center"/>
          </w:tcPr>
          <w:p w14:paraId="123B0524">
            <w:pPr>
              <w:spacing w:after="0" w:line="300" w:lineRule="auto"/>
              <w:jc w:val="center"/>
            </w:pPr>
            <w:r>
              <w:rPr>
                <w:rFonts w:ascii="Times New Roman" w:hAnsi="Times New Roman" w:eastAsia="仿宋"/>
                <w:b w:val="0"/>
                <w:sz w:val="21"/>
              </w:rPr>
              <w:t>1</w:t>
            </w:r>
            <w:r>
              <w:rPr>
                <w:rFonts w:hint="eastAsia" w:ascii="Times New Roman" w:hAnsi="Times New Roman" w:eastAsia="仿宋"/>
                <w:b w:val="0"/>
                <w:sz w:val="21"/>
                <w:lang w:val="en-US" w:eastAsia="zh-CN"/>
              </w:rPr>
              <w:t>5</w:t>
            </w:r>
            <w:r>
              <w:rPr>
                <w:rFonts w:ascii="Times New Roman" w:hAnsi="Times New Roman" w:eastAsia="仿宋"/>
                <w:b w:val="0"/>
                <w:sz w:val="21"/>
              </w:rPr>
              <w:t>分</w:t>
            </w:r>
          </w:p>
        </w:tc>
        <w:tc>
          <w:tcPr>
            <w:tcW w:w="5159" w:type="dxa"/>
            <w:vAlign w:val="center"/>
          </w:tcPr>
          <w:p w14:paraId="5637641E">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服务商对各主要镇街货运的时间规律、空间分布，对高速公路和普通公路交调点数据的运用，以及东莞与周边城市货运联系的分析是否全面、深入。</w:t>
            </w:r>
          </w:p>
          <w:p w14:paraId="30BA05B0">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第一档次</w:t>
            </w:r>
            <w:r>
              <w:rPr>
                <w:rFonts w:hint="eastAsia" w:ascii="Times New Roman" w:hAnsi="Times New Roman" w:eastAsia="仿宋"/>
                <w:b w:val="0"/>
                <w:sz w:val="21"/>
                <w:lang w:eastAsia="zh-CN"/>
              </w:rPr>
              <w:t>（</w:t>
            </w:r>
            <w:r>
              <w:rPr>
                <w:rFonts w:hint="eastAsia" w:ascii="Times New Roman" w:hAnsi="Times New Roman" w:eastAsia="仿宋"/>
                <w:b w:val="0"/>
                <w:sz w:val="21"/>
              </w:rPr>
              <w:t>1</w:t>
            </w:r>
            <w:r>
              <w:rPr>
                <w:rFonts w:hint="eastAsia" w:ascii="Times New Roman" w:hAnsi="Times New Roman" w:eastAsia="仿宋"/>
                <w:b w:val="0"/>
                <w:sz w:val="21"/>
                <w:lang w:val="en-US" w:eastAsia="zh-CN"/>
              </w:rPr>
              <w:t>5</w:t>
            </w:r>
            <w:r>
              <w:rPr>
                <w:rFonts w:hint="eastAsia" w:ascii="Times New Roman" w:hAnsi="Times New Roman" w:eastAsia="仿宋"/>
                <w:b w:val="0"/>
                <w:sz w:val="21"/>
              </w:rPr>
              <w:t>分</w:t>
            </w:r>
            <w:r>
              <w:rPr>
                <w:rFonts w:hint="eastAsia" w:ascii="Times New Roman" w:hAnsi="Times New Roman" w:eastAsia="仿宋"/>
                <w:b w:val="0"/>
                <w:sz w:val="21"/>
                <w:lang w:eastAsia="zh-CN"/>
              </w:rPr>
              <w:t>）</w:t>
            </w:r>
            <w:r>
              <w:rPr>
                <w:rFonts w:hint="eastAsia" w:ascii="Times New Roman" w:hAnsi="Times New Roman" w:eastAsia="仿宋"/>
                <w:b w:val="0"/>
                <w:sz w:val="21"/>
              </w:rPr>
              <w:t>：能按月、周、日、小时分析时间规律，按镇街建立活动强度、停留、OD等指标，结合高速货运与普通公路交调点数据分析通道流向和车流空间分布，研判城市间联系，形成镇街画像和问题判断。</w:t>
            </w:r>
          </w:p>
          <w:p w14:paraId="68137187">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w:t>
            </w:r>
            <w:r>
              <w:rPr>
                <w:rFonts w:hint="eastAsia" w:ascii="Times New Roman" w:hAnsi="Times New Roman" w:eastAsia="仿宋"/>
                <w:b w:val="0"/>
                <w:sz w:val="21"/>
                <w:lang w:eastAsia="zh-CN"/>
              </w:rPr>
              <w:t>二</w:t>
            </w:r>
            <w:r>
              <w:rPr>
                <w:rFonts w:hint="eastAsia" w:ascii="Times New Roman" w:hAnsi="Times New Roman" w:eastAsia="仿宋"/>
                <w:b w:val="0"/>
                <w:sz w:val="21"/>
              </w:rPr>
              <w:t>档次</w:t>
            </w:r>
            <w:r>
              <w:rPr>
                <w:rFonts w:hint="eastAsia" w:ascii="Times New Roman" w:hAnsi="Times New Roman" w:eastAsia="仿宋"/>
                <w:b w:val="0"/>
                <w:sz w:val="21"/>
                <w:lang w:eastAsia="zh-CN"/>
              </w:rPr>
              <w:t>（</w:t>
            </w:r>
            <w:r>
              <w:rPr>
                <w:rFonts w:hint="eastAsia" w:ascii="Times New Roman" w:hAnsi="Times New Roman" w:eastAsia="仿宋"/>
                <w:b w:val="0"/>
                <w:sz w:val="21"/>
                <w:lang w:val="en-US" w:eastAsia="zh-CN"/>
              </w:rPr>
              <w:t>10</w:t>
            </w:r>
            <w:r>
              <w:rPr>
                <w:rFonts w:hint="eastAsia" w:ascii="Times New Roman" w:hAnsi="Times New Roman" w:eastAsia="仿宋"/>
                <w:b w:val="0"/>
                <w:sz w:val="21"/>
              </w:rPr>
              <w:t>分</w:t>
            </w:r>
            <w:r>
              <w:rPr>
                <w:rFonts w:hint="eastAsia" w:ascii="Times New Roman" w:hAnsi="Times New Roman" w:eastAsia="仿宋"/>
                <w:b w:val="0"/>
                <w:sz w:val="21"/>
                <w:lang w:eastAsia="zh-CN"/>
              </w:rPr>
              <w:t>）</w:t>
            </w:r>
            <w:r>
              <w:rPr>
                <w:rFonts w:hint="eastAsia" w:ascii="Times New Roman" w:hAnsi="Times New Roman" w:eastAsia="仿宋"/>
                <w:b w:val="0"/>
                <w:sz w:val="21"/>
              </w:rPr>
              <w:t>：分析维度较完整，能覆盖主要镇街指标、城市间联系和主要通道，但对高速、普通公路交调点数据的运用或镇街画像分析的深度稍显不足。</w:t>
            </w:r>
          </w:p>
          <w:p w14:paraId="2415BE26">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第三档次（</w:t>
            </w:r>
            <w:r>
              <w:rPr>
                <w:rFonts w:hint="eastAsia" w:ascii="Times New Roman" w:hAnsi="Times New Roman" w:eastAsia="仿宋"/>
                <w:b w:val="0"/>
                <w:sz w:val="21"/>
                <w:lang w:val="en-US" w:eastAsia="zh-CN"/>
              </w:rPr>
              <w:t>5</w:t>
            </w:r>
            <w:r>
              <w:rPr>
                <w:rFonts w:hint="eastAsia" w:ascii="Times New Roman" w:hAnsi="Times New Roman" w:eastAsia="仿宋"/>
                <w:b w:val="0"/>
                <w:sz w:val="21"/>
              </w:rPr>
              <w:t>分）：只能完成基本的分布统计，缺少时段分析、OD联系、城市间联系或车流空间分布等内容，分析较浅，行业研判不足。</w:t>
            </w:r>
          </w:p>
          <w:p w14:paraId="0084A3D1">
            <w:pPr>
              <w:spacing w:after="0" w:line="300" w:lineRule="auto"/>
            </w:pPr>
            <w:r>
              <w:rPr>
                <w:rFonts w:hint="eastAsia" w:ascii="Times New Roman" w:hAnsi="Times New Roman" w:eastAsia="仿宋"/>
                <w:b w:val="0"/>
                <w:sz w:val="21"/>
              </w:rPr>
              <w:t>第四档次（0分）：未</w:t>
            </w:r>
            <w:r>
              <w:rPr>
                <w:rFonts w:hint="eastAsia" w:ascii="Times New Roman" w:hAnsi="Times New Roman" w:eastAsia="仿宋"/>
                <w:b w:val="0"/>
                <w:sz w:val="21"/>
                <w:lang w:eastAsia="zh-CN"/>
              </w:rPr>
              <w:t>提供</w:t>
            </w:r>
            <w:r>
              <w:rPr>
                <w:rFonts w:hint="eastAsia" w:ascii="Times New Roman" w:hAnsi="Times New Roman" w:eastAsia="仿宋"/>
                <w:b w:val="0"/>
                <w:sz w:val="21"/>
                <w:lang w:val="en-US" w:eastAsia="zh-CN"/>
              </w:rPr>
              <w:t>数据关联分析方案</w:t>
            </w:r>
            <w:r>
              <w:rPr>
                <w:rFonts w:hint="eastAsia" w:ascii="Times New Roman" w:hAnsi="Times New Roman" w:eastAsia="仿宋"/>
                <w:b w:val="0"/>
                <w:sz w:val="21"/>
              </w:rPr>
              <w:t>。</w:t>
            </w:r>
          </w:p>
        </w:tc>
      </w:tr>
      <w:tr w14:paraId="2C5F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14:paraId="584A4FBE">
            <w:pPr>
              <w:spacing w:after="0" w:line="300" w:lineRule="auto"/>
              <w:jc w:val="center"/>
            </w:pPr>
            <w:r>
              <w:rPr>
                <w:rFonts w:ascii="Times New Roman" w:hAnsi="Times New Roman" w:eastAsia="仿宋"/>
                <w:b w:val="0"/>
                <w:sz w:val="21"/>
              </w:rPr>
              <w:t>技术部分</w:t>
            </w:r>
          </w:p>
        </w:tc>
        <w:tc>
          <w:tcPr>
            <w:tcW w:w="1701" w:type="dxa"/>
            <w:vAlign w:val="center"/>
          </w:tcPr>
          <w:p w14:paraId="64B6ABB9">
            <w:pPr>
              <w:spacing w:after="0" w:line="300" w:lineRule="auto"/>
            </w:pPr>
            <w:r>
              <w:rPr>
                <w:rFonts w:hint="eastAsia" w:ascii="Times New Roman" w:hAnsi="Times New Roman" w:eastAsia="仿宋"/>
                <w:b w:val="0"/>
                <w:sz w:val="21"/>
              </w:rPr>
              <w:t>成果体现与可视化展现方案</w:t>
            </w:r>
          </w:p>
        </w:tc>
        <w:tc>
          <w:tcPr>
            <w:tcW w:w="850" w:type="dxa"/>
            <w:vAlign w:val="center"/>
          </w:tcPr>
          <w:p w14:paraId="4F87D75F">
            <w:pPr>
              <w:spacing w:after="0" w:line="300" w:lineRule="auto"/>
              <w:jc w:val="center"/>
            </w:pPr>
            <w:r>
              <w:rPr>
                <w:rFonts w:hint="eastAsia" w:ascii="Times New Roman" w:hAnsi="Times New Roman" w:eastAsia="仿宋"/>
                <w:b w:val="0"/>
                <w:sz w:val="21"/>
                <w:lang w:val="en-US" w:eastAsia="zh-CN"/>
              </w:rPr>
              <w:t>10</w:t>
            </w:r>
            <w:r>
              <w:rPr>
                <w:rFonts w:ascii="Times New Roman" w:hAnsi="Times New Roman" w:eastAsia="仿宋"/>
                <w:b w:val="0"/>
                <w:sz w:val="21"/>
              </w:rPr>
              <w:t>分</w:t>
            </w:r>
          </w:p>
        </w:tc>
        <w:tc>
          <w:tcPr>
            <w:tcW w:w="5159" w:type="dxa"/>
            <w:vAlign w:val="center"/>
          </w:tcPr>
          <w:p w14:paraId="1B6E4991">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最终交付的报告、图表等成果是否齐全、清晰、好用（可编辑），能否有效支撑汇报和决策。</w:t>
            </w:r>
          </w:p>
          <w:p w14:paraId="26B5F35B">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第一档次</w:t>
            </w:r>
            <w:r>
              <w:rPr>
                <w:rFonts w:hint="eastAsia" w:ascii="Times New Roman" w:hAnsi="Times New Roman" w:eastAsia="仿宋"/>
                <w:b w:val="0"/>
                <w:sz w:val="21"/>
                <w:lang w:eastAsia="zh-CN"/>
              </w:rPr>
              <w:t>（</w:t>
            </w:r>
            <w:r>
              <w:rPr>
                <w:rFonts w:hint="eastAsia" w:ascii="Times New Roman" w:hAnsi="Times New Roman" w:eastAsia="仿宋"/>
                <w:b w:val="0"/>
                <w:sz w:val="21"/>
              </w:rPr>
              <w:t>10分</w:t>
            </w:r>
            <w:r>
              <w:rPr>
                <w:rFonts w:hint="eastAsia" w:ascii="Times New Roman" w:hAnsi="Times New Roman" w:eastAsia="仿宋"/>
                <w:b w:val="0"/>
                <w:sz w:val="21"/>
                <w:lang w:eastAsia="zh-CN"/>
              </w:rPr>
              <w:t>）</w:t>
            </w:r>
            <w:r>
              <w:rPr>
                <w:rFonts w:hint="eastAsia" w:ascii="Times New Roman" w:hAnsi="Times New Roman" w:eastAsia="仿宋"/>
                <w:b w:val="0"/>
                <w:sz w:val="21"/>
              </w:rPr>
              <w:t>：</w:t>
            </w:r>
            <w:r>
              <w:rPr>
                <w:rFonts w:hint="eastAsia" w:ascii="Times New Roman" w:hAnsi="Times New Roman" w:eastAsia="仿宋"/>
                <w:b w:val="0"/>
                <w:sz w:val="21"/>
                <w:lang w:eastAsia="zh-CN"/>
              </w:rPr>
              <w:t>月度、</w:t>
            </w:r>
            <w:r>
              <w:rPr>
                <w:rFonts w:hint="eastAsia" w:ascii="Times New Roman" w:hAnsi="Times New Roman" w:eastAsia="仿宋"/>
                <w:b w:val="0"/>
                <w:sz w:val="21"/>
              </w:rPr>
              <w:t>季度、年度报告及镇街指标表、OD矩阵、城市间联系矩阵、普通公路交调点车流分布图表、通道图表和汇报材料齐全，图表清晰、规范且可编辑。</w:t>
            </w:r>
          </w:p>
          <w:p w14:paraId="69F56E2E">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w:t>
            </w:r>
            <w:r>
              <w:rPr>
                <w:rFonts w:hint="eastAsia" w:ascii="Times New Roman" w:hAnsi="Times New Roman" w:eastAsia="仿宋"/>
                <w:b w:val="0"/>
                <w:sz w:val="21"/>
                <w:lang w:eastAsia="zh-CN"/>
              </w:rPr>
              <w:t>二</w:t>
            </w:r>
            <w:r>
              <w:rPr>
                <w:rFonts w:hint="eastAsia" w:ascii="Times New Roman" w:hAnsi="Times New Roman" w:eastAsia="仿宋"/>
                <w:b w:val="0"/>
                <w:sz w:val="21"/>
              </w:rPr>
              <w:t>档次</w:t>
            </w:r>
            <w:r>
              <w:rPr>
                <w:rFonts w:hint="eastAsia" w:ascii="Times New Roman" w:hAnsi="Times New Roman" w:eastAsia="仿宋"/>
                <w:b w:val="0"/>
                <w:sz w:val="21"/>
                <w:lang w:eastAsia="zh-CN"/>
              </w:rPr>
              <w:t>（</w:t>
            </w:r>
            <w:r>
              <w:rPr>
                <w:rFonts w:hint="eastAsia" w:ascii="Times New Roman" w:hAnsi="Times New Roman" w:eastAsia="仿宋"/>
                <w:b w:val="0"/>
                <w:sz w:val="21"/>
                <w:lang w:val="en-US" w:eastAsia="zh-CN"/>
              </w:rPr>
              <w:t>7</w:t>
            </w:r>
            <w:r>
              <w:rPr>
                <w:rFonts w:hint="eastAsia" w:ascii="Times New Roman" w:hAnsi="Times New Roman" w:eastAsia="仿宋"/>
                <w:b w:val="0"/>
                <w:sz w:val="21"/>
              </w:rPr>
              <w:t>分</w:t>
            </w:r>
            <w:r>
              <w:rPr>
                <w:rFonts w:hint="eastAsia" w:ascii="Times New Roman" w:hAnsi="Times New Roman" w:eastAsia="仿宋"/>
                <w:b w:val="0"/>
                <w:sz w:val="21"/>
                <w:lang w:eastAsia="zh-CN"/>
              </w:rPr>
              <w:t>）</w:t>
            </w:r>
            <w:r>
              <w:rPr>
                <w:rFonts w:hint="eastAsia" w:ascii="Times New Roman" w:hAnsi="Times New Roman" w:eastAsia="仿宋"/>
                <w:b w:val="0"/>
                <w:sz w:val="21"/>
              </w:rPr>
              <w:t>：成果类型较完整，主要图表能满足汇报需要，但成果体系或图表的规范性、可编辑性方面仍有欠缺，整体完整度一般。</w:t>
            </w:r>
          </w:p>
          <w:p w14:paraId="777A28F6">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第三档次（4分）：成果设计较为简单，图表种类偏少、表达较弱，难以充分支撑汇报和决策，可编辑性和规范性说明不足。</w:t>
            </w:r>
          </w:p>
          <w:p w14:paraId="3AAE0079">
            <w:pPr>
              <w:spacing w:after="0" w:line="300" w:lineRule="auto"/>
            </w:pPr>
            <w:r>
              <w:rPr>
                <w:rFonts w:hint="eastAsia" w:ascii="Times New Roman" w:hAnsi="Times New Roman" w:eastAsia="仿宋"/>
                <w:b w:val="0"/>
                <w:sz w:val="21"/>
              </w:rPr>
              <w:t>第四档次（0分）：未提供成果体现与可视化展现方案。</w:t>
            </w:r>
          </w:p>
        </w:tc>
      </w:tr>
      <w:tr w14:paraId="55C2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14:paraId="68292F79">
            <w:pPr>
              <w:spacing w:after="0" w:line="300" w:lineRule="auto"/>
              <w:jc w:val="center"/>
            </w:pPr>
            <w:r>
              <w:rPr>
                <w:rFonts w:ascii="Times New Roman" w:hAnsi="Times New Roman" w:eastAsia="仿宋"/>
                <w:b w:val="0"/>
                <w:sz w:val="21"/>
              </w:rPr>
              <w:t>技术部分</w:t>
            </w:r>
          </w:p>
        </w:tc>
        <w:tc>
          <w:tcPr>
            <w:tcW w:w="1701" w:type="dxa"/>
            <w:vAlign w:val="center"/>
          </w:tcPr>
          <w:p w14:paraId="62EB568A">
            <w:pPr>
              <w:spacing w:after="0" w:line="300" w:lineRule="auto"/>
            </w:pPr>
            <w:r>
              <w:rPr>
                <w:rFonts w:hint="eastAsia" w:ascii="Times New Roman" w:hAnsi="Times New Roman" w:eastAsia="仿宋"/>
                <w:b w:val="0"/>
                <w:sz w:val="21"/>
              </w:rPr>
              <w:t>工作安排与质量保障方案</w:t>
            </w:r>
          </w:p>
        </w:tc>
        <w:tc>
          <w:tcPr>
            <w:tcW w:w="850" w:type="dxa"/>
            <w:vAlign w:val="center"/>
          </w:tcPr>
          <w:p w14:paraId="1A407FF0">
            <w:pPr>
              <w:spacing w:after="0" w:line="300" w:lineRule="auto"/>
              <w:jc w:val="center"/>
            </w:pPr>
            <w:r>
              <w:rPr>
                <w:rFonts w:hint="eastAsia" w:ascii="Times New Roman" w:hAnsi="Times New Roman" w:eastAsia="仿宋"/>
                <w:b w:val="0"/>
                <w:sz w:val="21"/>
                <w:lang w:val="en-US" w:eastAsia="zh-CN"/>
              </w:rPr>
              <w:t>6</w:t>
            </w:r>
            <w:r>
              <w:rPr>
                <w:rFonts w:ascii="Times New Roman" w:hAnsi="Times New Roman" w:eastAsia="仿宋"/>
                <w:b w:val="0"/>
                <w:sz w:val="21"/>
              </w:rPr>
              <w:t>分</w:t>
            </w:r>
          </w:p>
        </w:tc>
        <w:tc>
          <w:tcPr>
            <w:tcW w:w="5159" w:type="dxa"/>
            <w:vAlign w:val="center"/>
          </w:tcPr>
          <w:p w14:paraId="12E2CD34">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进度安排、沟通机制、成果复核、风险应对和资料归档等是否安排得具体、可行，能否保障项目按期高质量完成。</w:t>
            </w:r>
          </w:p>
          <w:p w14:paraId="7178F159">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第一档次</w:t>
            </w:r>
            <w:r>
              <w:rPr>
                <w:rFonts w:hint="eastAsia" w:ascii="Times New Roman" w:hAnsi="Times New Roman" w:eastAsia="仿宋"/>
                <w:b w:val="0"/>
                <w:sz w:val="21"/>
                <w:lang w:eastAsia="zh-CN"/>
              </w:rPr>
              <w:t>（</w:t>
            </w:r>
            <w:r>
              <w:rPr>
                <w:rFonts w:hint="eastAsia" w:ascii="Times New Roman" w:hAnsi="Times New Roman" w:eastAsia="仿宋"/>
                <w:b w:val="0"/>
                <w:sz w:val="21"/>
                <w:lang w:val="en-US" w:eastAsia="zh-CN"/>
              </w:rPr>
              <w:t>6</w:t>
            </w:r>
            <w:r>
              <w:rPr>
                <w:rFonts w:hint="eastAsia" w:ascii="Times New Roman" w:hAnsi="Times New Roman" w:eastAsia="仿宋"/>
                <w:b w:val="0"/>
                <w:sz w:val="21"/>
              </w:rPr>
              <w:t>分</w:t>
            </w:r>
            <w:r>
              <w:rPr>
                <w:rFonts w:hint="eastAsia" w:ascii="Times New Roman" w:hAnsi="Times New Roman" w:eastAsia="仿宋"/>
                <w:b w:val="0"/>
                <w:sz w:val="21"/>
                <w:lang w:eastAsia="zh-CN"/>
              </w:rPr>
              <w:t>）</w:t>
            </w:r>
            <w:r>
              <w:rPr>
                <w:rFonts w:hint="eastAsia" w:ascii="Times New Roman" w:hAnsi="Times New Roman" w:eastAsia="仿宋"/>
                <w:b w:val="0"/>
                <w:sz w:val="21"/>
              </w:rPr>
              <w:t>：进度安排、沟通机制、成果复核、风险应对和资料归档措施完整、具体、可落地，与项目周期和成果节点匹配良好。</w:t>
            </w:r>
          </w:p>
          <w:p w14:paraId="5B0269DF">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w:t>
            </w:r>
            <w:r>
              <w:rPr>
                <w:rFonts w:hint="eastAsia" w:ascii="Times New Roman" w:hAnsi="Times New Roman" w:eastAsia="仿宋"/>
                <w:b w:val="0"/>
                <w:sz w:val="21"/>
                <w:lang w:eastAsia="zh-CN"/>
              </w:rPr>
              <w:t>二</w:t>
            </w:r>
            <w:r>
              <w:rPr>
                <w:rFonts w:hint="eastAsia" w:ascii="Times New Roman" w:hAnsi="Times New Roman" w:eastAsia="仿宋"/>
                <w:b w:val="0"/>
                <w:sz w:val="21"/>
              </w:rPr>
              <w:t>档次（4分）：工作安排基本合理，有一定的质量保障和沟通机制，但个别环节的措施不够具体或衔接不够紧密。</w:t>
            </w:r>
          </w:p>
          <w:p w14:paraId="5EB75EE2">
            <w:pPr>
              <w:spacing w:after="0" w:line="300" w:lineRule="auto"/>
              <w:rPr>
                <w:rFonts w:hint="eastAsia" w:ascii="Times New Roman" w:hAnsi="Times New Roman" w:eastAsia="仿宋"/>
                <w:b w:val="0"/>
                <w:sz w:val="21"/>
              </w:rPr>
            </w:pPr>
            <w:r>
              <w:rPr>
                <w:rFonts w:hint="eastAsia" w:ascii="Times New Roman" w:hAnsi="Times New Roman" w:eastAsia="仿宋"/>
                <w:b w:val="0"/>
                <w:sz w:val="21"/>
              </w:rPr>
              <w:t>第三档次（</w:t>
            </w:r>
            <w:r>
              <w:rPr>
                <w:rFonts w:hint="eastAsia" w:ascii="Times New Roman" w:hAnsi="Times New Roman" w:eastAsia="仿宋"/>
                <w:b w:val="0"/>
                <w:sz w:val="21"/>
                <w:lang w:val="en-US" w:eastAsia="zh-CN"/>
              </w:rPr>
              <w:t>2</w:t>
            </w:r>
            <w:r>
              <w:rPr>
                <w:rFonts w:hint="eastAsia" w:ascii="Times New Roman" w:hAnsi="Times New Roman" w:eastAsia="仿宋"/>
                <w:b w:val="0"/>
                <w:sz w:val="21"/>
              </w:rPr>
              <w:t>分）：工作安排较为笼统，质量保障和风险应对措施不足，进度与成果节点的衔接不够清晰。</w:t>
            </w:r>
          </w:p>
          <w:p w14:paraId="36B80EED">
            <w:pPr>
              <w:spacing w:after="0" w:line="300" w:lineRule="auto"/>
            </w:pPr>
            <w:r>
              <w:rPr>
                <w:rFonts w:hint="eastAsia" w:ascii="Times New Roman" w:hAnsi="Times New Roman" w:eastAsia="仿宋"/>
                <w:b w:val="0"/>
                <w:sz w:val="21"/>
              </w:rPr>
              <w:t>第四档次（0分）：未提供工作安排与质量保障方案。</w:t>
            </w:r>
          </w:p>
        </w:tc>
      </w:tr>
      <w:tr w14:paraId="3CBA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14:paraId="05F058F9">
            <w:pPr>
              <w:spacing w:after="0" w:line="300" w:lineRule="auto"/>
              <w:jc w:val="center"/>
            </w:pPr>
            <w:r>
              <w:rPr>
                <w:rFonts w:ascii="Times New Roman" w:hAnsi="Times New Roman" w:eastAsia="仿宋"/>
                <w:b w:val="0"/>
                <w:sz w:val="21"/>
              </w:rPr>
              <w:t>技术部分</w:t>
            </w:r>
          </w:p>
        </w:tc>
        <w:tc>
          <w:tcPr>
            <w:tcW w:w="1701" w:type="dxa"/>
            <w:vAlign w:val="center"/>
          </w:tcPr>
          <w:p w14:paraId="5320DC70">
            <w:pPr>
              <w:spacing w:after="0" w:line="300" w:lineRule="auto"/>
            </w:pPr>
            <w:r>
              <w:rPr>
                <w:rFonts w:ascii="Times New Roman" w:hAnsi="Times New Roman" w:eastAsia="仿宋"/>
                <w:b w:val="0"/>
                <w:sz w:val="21"/>
              </w:rPr>
              <w:t>项目负责人与团队配置</w:t>
            </w:r>
          </w:p>
        </w:tc>
        <w:tc>
          <w:tcPr>
            <w:tcW w:w="850" w:type="dxa"/>
            <w:vAlign w:val="center"/>
          </w:tcPr>
          <w:p w14:paraId="4868A6E2">
            <w:pPr>
              <w:spacing w:after="0" w:line="300" w:lineRule="auto"/>
              <w:jc w:val="center"/>
            </w:pPr>
            <w:r>
              <w:rPr>
                <w:rFonts w:hint="eastAsia" w:ascii="Times New Roman" w:hAnsi="Times New Roman" w:eastAsia="仿宋"/>
                <w:b w:val="0"/>
                <w:sz w:val="21"/>
                <w:lang w:val="en-US" w:eastAsia="zh-CN"/>
              </w:rPr>
              <w:t>6</w:t>
            </w:r>
            <w:r>
              <w:rPr>
                <w:rFonts w:ascii="Times New Roman" w:hAnsi="Times New Roman" w:eastAsia="仿宋"/>
                <w:b w:val="0"/>
                <w:sz w:val="21"/>
              </w:rPr>
              <w:t>分</w:t>
            </w:r>
          </w:p>
        </w:tc>
        <w:tc>
          <w:tcPr>
            <w:tcW w:w="5159" w:type="dxa"/>
            <w:vAlign w:val="center"/>
          </w:tcPr>
          <w:p w14:paraId="680C38AB">
            <w:pPr>
              <w:spacing w:after="0" w:line="300" w:lineRule="auto"/>
            </w:pPr>
            <w:r>
              <w:rPr>
                <w:rFonts w:ascii="Times New Roman" w:hAnsi="Times New Roman" w:eastAsia="仿宋"/>
                <w:b w:val="0"/>
                <w:sz w:val="21"/>
              </w:rPr>
              <w:t>项目负责人具有统计类、交通类、规划类、咨询类、数据分析类等相关高级职称的得</w:t>
            </w:r>
            <w:r>
              <w:rPr>
                <w:rFonts w:hint="eastAsia" w:ascii="Times New Roman" w:hAnsi="Times New Roman" w:eastAsia="仿宋"/>
                <w:b w:val="0"/>
                <w:sz w:val="21"/>
                <w:lang w:val="en-US" w:eastAsia="zh-CN"/>
              </w:rPr>
              <w:t>3</w:t>
            </w:r>
            <w:r>
              <w:rPr>
                <w:rFonts w:ascii="Times New Roman" w:hAnsi="Times New Roman" w:eastAsia="仿宋"/>
                <w:b w:val="0"/>
                <w:sz w:val="21"/>
              </w:rPr>
              <w:t>分</w:t>
            </w:r>
            <w:r>
              <w:rPr>
                <w:rFonts w:hint="eastAsia" w:ascii="Times New Roman" w:hAnsi="Times New Roman" w:eastAsia="仿宋"/>
                <w:b w:val="0"/>
                <w:sz w:val="21"/>
                <w:lang w:eastAsia="zh-CN"/>
              </w:rPr>
              <w:t>，</w:t>
            </w:r>
            <w:bookmarkStart w:id="0" w:name="_GoBack"/>
            <w:bookmarkEnd w:id="0"/>
            <w:r>
              <w:rPr>
                <w:rFonts w:hint="eastAsia" w:ascii="Times New Roman" w:hAnsi="Times New Roman" w:eastAsia="仿宋"/>
                <w:b w:val="0"/>
                <w:sz w:val="21"/>
                <w:lang w:eastAsia="zh-CN"/>
              </w:rPr>
              <w:t>最高得3分</w:t>
            </w:r>
            <w:r>
              <w:rPr>
                <w:rFonts w:ascii="Times New Roman" w:hAnsi="Times New Roman" w:eastAsia="仿宋"/>
                <w:b w:val="0"/>
                <w:sz w:val="21"/>
              </w:rPr>
              <w:t>；</w:t>
            </w:r>
            <w:r>
              <w:rPr>
                <w:rFonts w:hint="eastAsia" w:ascii="Times New Roman" w:hAnsi="Times New Roman" w:eastAsia="仿宋"/>
                <w:b w:val="0"/>
                <w:sz w:val="21"/>
              </w:rPr>
              <w:t>投</w:t>
            </w:r>
            <w:r>
              <w:rPr>
                <w:rFonts w:hint="eastAsia" w:ascii="Times New Roman" w:hAnsi="Times New Roman" w:eastAsia="仿宋"/>
                <w:b w:val="0"/>
                <w:sz w:val="21"/>
                <w:lang w:eastAsia="zh-CN"/>
              </w:rPr>
              <w:t>入</w:t>
            </w:r>
            <w:r>
              <w:rPr>
                <w:rFonts w:hint="eastAsia" w:ascii="Times New Roman" w:hAnsi="Times New Roman" w:eastAsia="仿宋"/>
                <w:b w:val="0"/>
                <w:sz w:val="21"/>
              </w:rPr>
              <w:t>本项目其他人员（除项目负责人）</w:t>
            </w:r>
            <w:r>
              <w:rPr>
                <w:rFonts w:ascii="Times New Roman" w:hAnsi="Times New Roman" w:eastAsia="仿宋"/>
                <w:b w:val="0"/>
                <w:sz w:val="21"/>
              </w:rPr>
              <w:t>具有统计类、交通类、规划类、咨询类、数据分析类相关中级及以上职称、</w:t>
            </w:r>
            <w:r>
              <w:rPr>
                <w:rFonts w:hint="eastAsia" w:ascii="Times New Roman" w:hAnsi="Times New Roman" w:eastAsia="仿宋"/>
                <w:b w:val="0"/>
                <w:sz w:val="21"/>
                <w:lang w:eastAsia="zh-CN"/>
              </w:rPr>
              <w:t>或者具有</w:t>
            </w:r>
            <w:r>
              <w:rPr>
                <w:rFonts w:ascii="Times New Roman" w:hAnsi="Times New Roman" w:eastAsia="仿宋"/>
                <w:b w:val="0"/>
                <w:sz w:val="21"/>
              </w:rPr>
              <w:t>数据分析或交通运输研究经验的，每人1分，最高3分。</w:t>
            </w:r>
            <w:r>
              <w:rPr>
                <w:rFonts w:hint="eastAsia" w:ascii="Times New Roman" w:hAnsi="Times New Roman" w:eastAsia="仿宋"/>
                <w:b w:val="0"/>
                <w:sz w:val="21"/>
                <w:lang w:eastAsia="zh-CN"/>
              </w:rPr>
              <w:t>备注：（</w:t>
            </w:r>
            <w:r>
              <w:rPr>
                <w:rFonts w:hint="eastAsia" w:ascii="Times New Roman" w:hAnsi="Times New Roman" w:eastAsia="仿宋"/>
                <w:b w:val="0"/>
                <w:sz w:val="21"/>
                <w:lang w:val="en-US" w:eastAsia="zh-CN"/>
              </w:rPr>
              <w:t>1）</w:t>
            </w:r>
            <w:r>
              <w:rPr>
                <w:rFonts w:hint="eastAsia" w:ascii="Times New Roman" w:hAnsi="Times New Roman" w:eastAsia="仿宋"/>
              </w:rPr>
              <w:t>须提供以上人员有效证书复印件加盖投标人公章及投标人为其缴纳的距</w:t>
            </w:r>
            <w:r>
              <w:rPr>
                <w:rFonts w:hint="eastAsia" w:ascii="Times New Roman" w:hAnsi="Times New Roman" w:eastAsia="仿宋"/>
                <w:lang w:eastAsia="zh-CN"/>
              </w:rPr>
              <w:t>公告</w:t>
            </w:r>
            <w:r>
              <w:rPr>
                <w:rFonts w:hint="eastAsia" w:ascii="Times New Roman" w:hAnsi="Times New Roman" w:eastAsia="仿宋"/>
              </w:rPr>
              <w:t>时间前三个月内任意一个月的社保证明复印件加盖投标人公章。</w:t>
            </w:r>
            <w:r>
              <w:rPr>
                <w:rFonts w:hint="eastAsia" w:ascii="Times New Roman" w:hAnsi="Times New Roman" w:eastAsia="仿宋"/>
                <w:lang w:eastAsia="zh-CN"/>
              </w:rPr>
              <w:t>（</w:t>
            </w:r>
            <w:r>
              <w:rPr>
                <w:rFonts w:hint="eastAsia" w:ascii="Times New Roman" w:hAnsi="Times New Roman" w:eastAsia="仿宋"/>
                <w:lang w:val="en-US" w:eastAsia="zh-CN"/>
              </w:rPr>
              <w:t>2）</w:t>
            </w:r>
            <w:r>
              <w:rPr>
                <w:rFonts w:hint="eastAsia" w:ascii="Times New Roman" w:hAnsi="Times New Roman" w:eastAsia="仿宋"/>
              </w:rPr>
              <w:t>经验佐证材料（仅经验加分人员提供）：过往交通 / 数据分析项目合同、成果报告、任职文件、业绩证明等可佐证从业经验的材料。</w:t>
            </w:r>
          </w:p>
        </w:tc>
      </w:tr>
      <w:tr w14:paraId="68C7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14:paraId="2E69CD38">
            <w:pPr>
              <w:spacing w:after="0" w:line="300" w:lineRule="auto"/>
              <w:jc w:val="center"/>
            </w:pPr>
            <w:r>
              <w:rPr>
                <w:rFonts w:ascii="Times New Roman" w:hAnsi="Times New Roman" w:eastAsia="仿宋"/>
                <w:b w:val="0"/>
                <w:sz w:val="21"/>
              </w:rPr>
              <w:t>商务部分</w:t>
            </w:r>
          </w:p>
        </w:tc>
        <w:tc>
          <w:tcPr>
            <w:tcW w:w="1701" w:type="dxa"/>
            <w:vAlign w:val="center"/>
          </w:tcPr>
          <w:p w14:paraId="7C99F3AA">
            <w:pPr>
              <w:spacing w:after="0" w:line="300" w:lineRule="auto"/>
            </w:pPr>
            <w:r>
              <w:rPr>
                <w:rFonts w:ascii="Times New Roman" w:hAnsi="Times New Roman" w:eastAsia="仿宋"/>
                <w:b w:val="0"/>
                <w:sz w:val="21"/>
              </w:rPr>
              <w:t>同类业绩</w:t>
            </w:r>
          </w:p>
        </w:tc>
        <w:tc>
          <w:tcPr>
            <w:tcW w:w="850" w:type="dxa"/>
            <w:vAlign w:val="center"/>
          </w:tcPr>
          <w:p w14:paraId="1C676E15">
            <w:pPr>
              <w:spacing w:after="0" w:line="300" w:lineRule="auto"/>
              <w:jc w:val="center"/>
            </w:pPr>
            <w:r>
              <w:rPr>
                <w:rFonts w:ascii="Times New Roman" w:hAnsi="Times New Roman" w:eastAsia="仿宋"/>
                <w:b w:val="0"/>
                <w:sz w:val="21"/>
              </w:rPr>
              <w:t>12分</w:t>
            </w:r>
          </w:p>
        </w:tc>
        <w:tc>
          <w:tcPr>
            <w:tcW w:w="5159" w:type="dxa"/>
            <w:vAlign w:val="center"/>
          </w:tcPr>
          <w:p w14:paraId="7809928B">
            <w:pPr>
              <w:spacing w:after="0" w:line="300" w:lineRule="auto"/>
              <w:rPr>
                <w:rFonts w:hint="eastAsia" w:eastAsia="仿宋"/>
                <w:lang w:eastAsia="zh-CN"/>
              </w:rPr>
            </w:pPr>
            <w:r>
              <w:rPr>
                <w:rFonts w:ascii="Times New Roman" w:hAnsi="Times New Roman" w:eastAsia="仿宋"/>
                <w:b w:val="0"/>
                <w:sz w:val="21"/>
              </w:rPr>
              <w:t>自2020年1月1日至响应截止日，服务商承担过交通统计、公路货运监测、交通运行分析、交通规划咨询、运输经济分析等项目的，每项3分，最高12分。</w:t>
            </w:r>
            <w:r>
              <w:rPr>
                <w:rFonts w:hint="eastAsia" w:ascii="Times New Roman" w:hAnsi="Times New Roman" w:eastAsia="仿宋"/>
                <w:b w:val="0"/>
                <w:sz w:val="21"/>
                <w:lang w:eastAsia="zh-CN"/>
              </w:rPr>
              <w:t>提供相应合同或验收报告等证明材料。</w:t>
            </w:r>
          </w:p>
        </w:tc>
      </w:tr>
      <w:tr w14:paraId="10F9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14:paraId="08762933">
            <w:pPr>
              <w:spacing w:after="0" w:line="300" w:lineRule="auto"/>
              <w:jc w:val="center"/>
            </w:pPr>
            <w:r>
              <w:rPr>
                <w:rFonts w:ascii="Times New Roman" w:hAnsi="Times New Roman" w:eastAsia="仿宋"/>
                <w:b w:val="0"/>
                <w:sz w:val="21"/>
              </w:rPr>
              <w:t>商务部分</w:t>
            </w:r>
          </w:p>
        </w:tc>
        <w:tc>
          <w:tcPr>
            <w:tcW w:w="1701" w:type="dxa"/>
            <w:vAlign w:val="center"/>
          </w:tcPr>
          <w:p w14:paraId="39BABDFD">
            <w:pPr>
              <w:spacing w:after="0" w:line="300" w:lineRule="auto"/>
            </w:pPr>
            <w:r>
              <w:rPr>
                <w:rFonts w:ascii="Times New Roman" w:hAnsi="Times New Roman" w:eastAsia="仿宋"/>
                <w:b w:val="0"/>
                <w:sz w:val="21"/>
              </w:rPr>
              <w:t>服务响应</w:t>
            </w:r>
          </w:p>
        </w:tc>
        <w:tc>
          <w:tcPr>
            <w:tcW w:w="850" w:type="dxa"/>
            <w:vAlign w:val="center"/>
          </w:tcPr>
          <w:p w14:paraId="675A12D5">
            <w:pPr>
              <w:spacing w:after="0" w:line="300" w:lineRule="auto"/>
              <w:jc w:val="center"/>
            </w:pPr>
            <w:r>
              <w:rPr>
                <w:rFonts w:hint="eastAsia" w:ascii="Times New Roman" w:hAnsi="Times New Roman" w:eastAsia="仿宋"/>
                <w:b w:val="0"/>
                <w:sz w:val="21"/>
                <w:lang w:val="en-US" w:eastAsia="zh-CN"/>
              </w:rPr>
              <w:t>6</w:t>
            </w:r>
            <w:r>
              <w:rPr>
                <w:rFonts w:ascii="Times New Roman" w:hAnsi="Times New Roman" w:eastAsia="仿宋"/>
                <w:b w:val="0"/>
                <w:sz w:val="21"/>
              </w:rPr>
              <w:t>分</w:t>
            </w:r>
          </w:p>
        </w:tc>
        <w:tc>
          <w:tcPr>
            <w:tcW w:w="5159" w:type="dxa"/>
            <w:vAlign w:val="center"/>
          </w:tcPr>
          <w:p w14:paraId="26725BAB">
            <w:pPr>
              <w:spacing w:after="0" w:line="300" w:lineRule="auto"/>
            </w:pPr>
            <w:r>
              <w:rPr>
                <w:rFonts w:ascii="Times New Roman" w:hAnsi="Times New Roman" w:eastAsia="仿宋"/>
                <w:b w:val="0"/>
                <w:sz w:val="21"/>
              </w:rPr>
              <w:t>承诺接到采购人通知后1小时内到场或线上响应并在2小时内提出处理意见的得</w:t>
            </w:r>
            <w:r>
              <w:rPr>
                <w:rFonts w:hint="eastAsia" w:ascii="Times New Roman" w:hAnsi="Times New Roman" w:eastAsia="仿宋"/>
                <w:b w:val="0"/>
                <w:sz w:val="21"/>
                <w:lang w:val="en-US" w:eastAsia="zh-CN"/>
              </w:rPr>
              <w:t>6</w:t>
            </w:r>
            <w:r>
              <w:rPr>
                <w:rFonts w:ascii="Times New Roman" w:hAnsi="Times New Roman" w:eastAsia="仿宋"/>
                <w:b w:val="0"/>
                <w:sz w:val="21"/>
              </w:rPr>
              <w:t>分；2小时内响应并在半个工作日内提出处理意见的得</w:t>
            </w:r>
            <w:r>
              <w:rPr>
                <w:rFonts w:hint="eastAsia" w:ascii="Times New Roman" w:hAnsi="Times New Roman" w:eastAsia="仿宋"/>
                <w:b w:val="0"/>
                <w:sz w:val="21"/>
                <w:lang w:val="en-US" w:eastAsia="zh-CN"/>
              </w:rPr>
              <w:t>3</w:t>
            </w:r>
            <w:r>
              <w:rPr>
                <w:rFonts w:ascii="Times New Roman" w:hAnsi="Times New Roman" w:eastAsia="仿宋"/>
                <w:b w:val="0"/>
                <w:sz w:val="21"/>
              </w:rPr>
              <w:t>分；</w:t>
            </w:r>
            <w:r>
              <w:rPr>
                <w:rFonts w:hint="eastAsia" w:ascii="Times New Roman" w:hAnsi="Times New Roman" w:eastAsia="仿宋"/>
                <w:b w:val="0"/>
                <w:sz w:val="21"/>
              </w:rPr>
              <w:t>超过3小时</w:t>
            </w:r>
            <w:r>
              <w:rPr>
                <w:rFonts w:hint="eastAsia" w:ascii="Times New Roman" w:hAnsi="Times New Roman" w:eastAsia="仿宋"/>
                <w:b w:val="0"/>
                <w:sz w:val="21"/>
                <w:lang w:eastAsia="zh-CN"/>
              </w:rPr>
              <w:t>响应或</w:t>
            </w:r>
            <w:r>
              <w:rPr>
                <w:rFonts w:ascii="Times New Roman" w:hAnsi="Times New Roman" w:eastAsia="仿宋"/>
                <w:b w:val="0"/>
                <w:sz w:val="21"/>
              </w:rPr>
              <w:t>未提供明确响应承诺的不得分。</w:t>
            </w:r>
          </w:p>
        </w:tc>
      </w:tr>
      <w:tr w14:paraId="3FD7C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34" w:type="dxa"/>
            <w:vAlign w:val="center"/>
          </w:tcPr>
          <w:p w14:paraId="2A363B76">
            <w:pPr>
              <w:spacing w:after="0" w:line="300" w:lineRule="auto"/>
              <w:jc w:val="center"/>
            </w:pPr>
            <w:r>
              <w:rPr>
                <w:rFonts w:ascii="Times New Roman" w:hAnsi="Times New Roman" w:eastAsia="仿宋"/>
                <w:b w:val="0"/>
                <w:sz w:val="21"/>
              </w:rPr>
              <w:t>报价部分</w:t>
            </w:r>
          </w:p>
        </w:tc>
        <w:tc>
          <w:tcPr>
            <w:tcW w:w="1701" w:type="dxa"/>
            <w:vAlign w:val="center"/>
          </w:tcPr>
          <w:p w14:paraId="11D5884C">
            <w:pPr>
              <w:spacing w:after="0" w:line="300" w:lineRule="auto"/>
            </w:pPr>
            <w:r>
              <w:rPr>
                <w:rFonts w:ascii="Times New Roman" w:hAnsi="Times New Roman" w:eastAsia="仿宋"/>
                <w:b w:val="0"/>
                <w:sz w:val="21"/>
              </w:rPr>
              <w:t>报价评审</w:t>
            </w:r>
          </w:p>
        </w:tc>
        <w:tc>
          <w:tcPr>
            <w:tcW w:w="850" w:type="dxa"/>
            <w:vAlign w:val="center"/>
          </w:tcPr>
          <w:p w14:paraId="67D93A88">
            <w:pPr>
              <w:spacing w:after="0" w:line="300" w:lineRule="auto"/>
              <w:jc w:val="center"/>
            </w:pPr>
            <w:r>
              <w:rPr>
                <w:rFonts w:ascii="Times New Roman" w:hAnsi="Times New Roman" w:eastAsia="仿宋"/>
                <w:b w:val="0"/>
                <w:sz w:val="21"/>
              </w:rPr>
              <w:t>2</w:t>
            </w:r>
            <w:r>
              <w:rPr>
                <w:rFonts w:hint="eastAsia" w:ascii="Times New Roman" w:hAnsi="Times New Roman" w:eastAsia="仿宋"/>
                <w:b w:val="0"/>
                <w:sz w:val="21"/>
                <w:lang w:val="en-US" w:eastAsia="zh-CN"/>
              </w:rPr>
              <w:t>5</w:t>
            </w:r>
            <w:r>
              <w:rPr>
                <w:rFonts w:ascii="Times New Roman" w:hAnsi="Times New Roman" w:eastAsia="仿宋"/>
                <w:b w:val="0"/>
                <w:sz w:val="21"/>
              </w:rPr>
              <w:t>分</w:t>
            </w:r>
          </w:p>
        </w:tc>
        <w:tc>
          <w:tcPr>
            <w:tcW w:w="5159" w:type="dxa"/>
            <w:vAlign w:val="center"/>
          </w:tcPr>
          <w:p w14:paraId="59837E83">
            <w:pPr>
              <w:spacing w:after="0" w:line="300" w:lineRule="auto"/>
            </w:pPr>
            <w:r>
              <w:rPr>
                <w:rFonts w:ascii="Times New Roman" w:hAnsi="Times New Roman" w:eastAsia="仿宋"/>
                <w:b w:val="0"/>
                <w:sz w:val="21"/>
              </w:rPr>
              <w:t>在满足采购需求且响应报价不超过最高限价的前提下，按价格评审公式计算。</w:t>
            </w:r>
            <w:r>
              <w:rPr>
                <w:rFonts w:hint="eastAsia" w:ascii="Times New Roman" w:hAnsi="Times New Roman" w:eastAsia="仿宋"/>
                <w:b w:val="0"/>
                <w:sz w:val="21"/>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r>
              <w:rPr>
                <w:rFonts w:ascii="Times New Roman" w:hAnsi="Times New Roman" w:eastAsia="仿宋"/>
                <w:b w:val="0"/>
                <w:sz w:val="21"/>
              </w:rPr>
              <w:t>响应报价超过人民币320000.00元最高限价的，按无效响应处理</w:t>
            </w:r>
            <w:r>
              <w:rPr>
                <w:rFonts w:hint="eastAsia" w:ascii="Times New Roman" w:hAnsi="Times New Roman" w:eastAsia="仿宋"/>
                <w:b w:val="0"/>
                <w:sz w:val="21"/>
                <w:lang w:eastAsia="zh-CN"/>
              </w:rPr>
              <w:t>。</w:t>
            </w:r>
          </w:p>
        </w:tc>
      </w:tr>
    </w:tbl>
    <w:p w14:paraId="0A78EE75">
      <w:pPr>
        <w:spacing w:after="80" w:line="360" w:lineRule="auto"/>
      </w:pPr>
    </w:p>
    <w:p w14:paraId="48EFA56F">
      <w:r>
        <w:br w:type="page"/>
      </w:r>
    </w:p>
    <w:p w14:paraId="360C66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714A0580">
      <w:pPr>
        <w:pStyle w:val="3"/>
        <w:spacing w:before="280" w:after="120" w:line="276" w:lineRule="auto"/>
        <w:jc w:val="center"/>
        <w:rPr>
          <w:rFonts w:hint="eastAsia" w:ascii="国标小标宋" w:hAnsi="国标小标宋" w:eastAsia="国标小标宋" w:cs="国标小标宋"/>
          <w:b w:val="0"/>
          <w:bCs w:val="0"/>
          <w:color w:val="auto"/>
          <w:sz w:val="44"/>
          <w:szCs w:val="44"/>
        </w:rPr>
      </w:pPr>
      <w:r>
        <w:rPr>
          <w:rFonts w:hint="eastAsia" w:ascii="国标小标宋" w:hAnsi="国标小标宋" w:eastAsia="国标小标宋" w:cs="国标小标宋"/>
          <w:b w:val="0"/>
          <w:bCs w:val="0"/>
          <w:color w:val="auto"/>
          <w:sz w:val="44"/>
          <w:szCs w:val="44"/>
        </w:rPr>
        <w:t>报价表</w:t>
      </w:r>
    </w:p>
    <w:tbl>
      <w:tblPr>
        <w:tblStyle w:val="3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4"/>
        <w:gridCol w:w="6350"/>
      </w:tblGrid>
      <w:tr w14:paraId="276C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14:paraId="46C7EF19">
            <w:pPr>
              <w:spacing w:after="0" w:line="30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rPr>
              <w:t>项目名称</w:t>
            </w:r>
          </w:p>
        </w:tc>
        <w:tc>
          <w:tcPr>
            <w:tcW w:w="6350" w:type="dxa"/>
            <w:vAlign w:val="center"/>
          </w:tcPr>
          <w:p w14:paraId="3F28E591">
            <w:pPr>
              <w:spacing w:after="0" w:line="300" w:lineRule="auto"/>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rPr>
              <w:t>东莞市公路货运统计分析及发展对策研究项目</w:t>
            </w:r>
          </w:p>
        </w:tc>
      </w:tr>
      <w:tr w14:paraId="2DD6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14:paraId="3795F156">
            <w:pPr>
              <w:spacing w:after="0" w:line="30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rPr>
              <w:t>服务商名称</w:t>
            </w:r>
          </w:p>
        </w:tc>
        <w:tc>
          <w:tcPr>
            <w:tcW w:w="6350" w:type="dxa"/>
            <w:vAlign w:val="center"/>
          </w:tcPr>
          <w:p w14:paraId="54C9E35E">
            <w:pPr>
              <w:spacing w:after="0" w:line="300" w:lineRule="auto"/>
              <w:rPr>
                <w:rFonts w:hint="eastAsia" w:ascii="仿宋_GB2312" w:hAnsi="仿宋_GB2312" w:eastAsia="仿宋_GB2312" w:cs="仿宋_GB2312"/>
                <w:sz w:val="32"/>
                <w:szCs w:val="32"/>
              </w:rPr>
            </w:pPr>
          </w:p>
        </w:tc>
      </w:tr>
      <w:tr w14:paraId="56EC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6" w:hRule="atLeast"/>
          <w:jc w:val="center"/>
        </w:trPr>
        <w:tc>
          <w:tcPr>
            <w:tcW w:w="2494" w:type="dxa"/>
            <w:vAlign w:val="center"/>
          </w:tcPr>
          <w:p w14:paraId="47B39820">
            <w:pPr>
              <w:spacing w:after="0" w:line="30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rPr>
              <w:t>服务总报价（含税）</w:t>
            </w:r>
          </w:p>
        </w:tc>
        <w:tc>
          <w:tcPr>
            <w:tcW w:w="6350" w:type="dxa"/>
            <w:vAlign w:val="center"/>
          </w:tcPr>
          <w:p w14:paraId="1136BD14">
            <w:pPr>
              <w:spacing w:after="0" w:line="300" w:lineRule="auto"/>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rPr>
              <w:t>小写：￥__________ 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b w:val="0"/>
                <w:sz w:val="32"/>
                <w:szCs w:val="32"/>
              </w:rPr>
              <w:t>大写：____________________________</w:t>
            </w:r>
          </w:p>
        </w:tc>
      </w:tr>
      <w:tr w14:paraId="69CB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94" w:type="dxa"/>
            <w:vAlign w:val="center"/>
          </w:tcPr>
          <w:p w14:paraId="5446EFA6">
            <w:pPr>
              <w:spacing w:after="0" w:line="30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rPr>
              <w:t>服务周期</w:t>
            </w:r>
          </w:p>
        </w:tc>
        <w:tc>
          <w:tcPr>
            <w:tcW w:w="6350" w:type="dxa"/>
            <w:vAlign w:val="center"/>
          </w:tcPr>
          <w:p w14:paraId="49D2DAD0">
            <w:pPr>
              <w:spacing w:after="0" w:line="300" w:lineRule="auto"/>
              <w:rPr>
                <w:rFonts w:hint="eastAsia" w:ascii="仿宋_GB2312" w:hAnsi="仿宋_GB2312" w:eastAsia="仿宋_GB2312" w:cs="仿宋_GB2312"/>
                <w:sz w:val="32"/>
                <w:szCs w:val="32"/>
              </w:rPr>
            </w:pPr>
            <w:r>
              <w:rPr>
                <w:rFonts w:hint="eastAsia" w:ascii="仿宋_GB2312" w:hAnsi="仿宋_GB2312" w:eastAsia="仿宋_GB2312" w:cs="仿宋_GB2312"/>
                <w:b w:val="0"/>
                <w:sz w:val="32"/>
                <w:szCs w:val="32"/>
              </w:rPr>
              <w:t>一年，自合同签订之日起计算</w:t>
            </w:r>
          </w:p>
        </w:tc>
      </w:tr>
    </w:tbl>
    <w:p w14:paraId="316DAD04">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w:t>
      </w:r>
    </w:p>
    <w:p w14:paraId="56EAF167">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本次采购采用填报项目总价的方式进行报价，填报时保留小数点后两位；</w:t>
      </w:r>
    </w:p>
    <w:p w14:paraId="7C8D8CAA">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本报价表是项目需求书确定服务范围内全部服务内容的价格体现，报价应包含项目投入的各项费用及合同实施过程中不可预见费用等；</w:t>
      </w:r>
    </w:p>
    <w:p w14:paraId="3DC52B49">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不提供此表格将被视为没有实质性响应，其响应文件将被拒绝。</w:t>
      </w:r>
    </w:p>
    <w:p w14:paraId="6C6F428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p w14:paraId="52B1FE6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p w14:paraId="3B3A8D4D">
      <w:pPr>
        <w:jc w:val="center"/>
        <w:rPr>
          <w:rFonts w:hint="eastAsia" w:ascii="仿宋_GB2312" w:hAnsi="仿宋_GB2312" w:eastAsia="仿宋_GB2312" w:cs="仿宋_GB2312"/>
          <w:color w:val="1F1F1F"/>
          <w:sz w:val="32"/>
          <w:szCs w:val="32"/>
          <w:lang w:val="en-US" w:eastAsia="zh-CN" w:bidi="ar-SA"/>
        </w:rPr>
      </w:pPr>
      <w:r>
        <w:rPr>
          <w:rFonts w:hint="eastAsia" w:ascii="仿宋_GB2312" w:hAnsi="仿宋_GB2312" w:eastAsia="仿宋_GB2312" w:cs="仿宋_GB2312"/>
          <w:color w:val="1F1F1F"/>
          <w:sz w:val="32"/>
          <w:szCs w:val="32"/>
          <w:lang w:val="en-US" w:eastAsia="zh-CN" w:bidi="ar-SA"/>
        </w:rPr>
        <w:t>服务商全称（盖章）：</w:t>
      </w:r>
    </w:p>
    <w:p w14:paraId="126352F5">
      <w:pPr>
        <w:jc w:val="center"/>
        <w:rPr>
          <w:rFonts w:hint="eastAsia" w:ascii="仿宋_GB2312" w:hAnsi="仿宋_GB2312" w:eastAsia="仿宋_GB2312" w:cs="仿宋_GB2312"/>
          <w:color w:val="1F1F1F"/>
          <w:sz w:val="32"/>
          <w:szCs w:val="32"/>
          <w:lang w:val="en-US" w:eastAsia="zh-CN" w:bidi="ar-SA"/>
        </w:rPr>
      </w:pPr>
      <w:r>
        <w:rPr>
          <w:rFonts w:hint="eastAsia" w:ascii="仿宋_GB2312" w:hAnsi="仿宋_GB2312" w:eastAsia="仿宋_GB2312" w:cs="仿宋_GB2312"/>
          <w:color w:val="1F1F1F"/>
          <w:sz w:val="32"/>
          <w:szCs w:val="32"/>
          <w:lang w:val="en-US" w:eastAsia="zh-CN" w:bidi="ar-SA"/>
        </w:rPr>
        <w:t>服务商代表（签字）：</w:t>
      </w:r>
    </w:p>
    <w:p w14:paraId="105E6A8C">
      <w:pPr>
        <w:jc w:val="center"/>
        <w:rPr>
          <w:rFonts w:hint="eastAsia" w:ascii="仿宋_GB2312" w:hAnsi="仿宋_GB2312" w:eastAsia="仿宋_GB2312" w:cs="仿宋_GB2312"/>
          <w:color w:val="1F1F1F"/>
          <w:sz w:val="32"/>
          <w:szCs w:val="32"/>
          <w:lang w:val="en-US" w:eastAsia="zh-CN" w:bidi="ar-SA"/>
        </w:rPr>
      </w:pPr>
      <w:r>
        <w:rPr>
          <w:rFonts w:hint="eastAsia" w:ascii="仿宋_GB2312" w:hAnsi="仿宋_GB2312" w:eastAsia="仿宋_GB2312" w:cs="仿宋_GB2312"/>
          <w:color w:val="1F1F1F"/>
          <w:sz w:val="32"/>
          <w:szCs w:val="32"/>
          <w:lang w:val="en-US" w:eastAsia="zh-CN" w:bidi="ar-SA"/>
        </w:rPr>
        <w:t xml:space="preserve">             日 期：</w:t>
      </w:r>
    </w:p>
    <w:p w14:paraId="07A03364">
      <w:pPr>
        <w:jc w:val="center"/>
        <w:rPr>
          <w:rFonts w:hint="eastAsia" w:ascii="仿宋_GB2312" w:hAnsi="仿宋_GB2312" w:eastAsia="仿宋_GB2312" w:cs="仿宋_GB2312"/>
          <w:color w:val="1F1F1F"/>
          <w:sz w:val="32"/>
          <w:szCs w:val="32"/>
          <w:lang w:val="en-US" w:eastAsia="zh-CN" w:bidi="ar-SA"/>
        </w:rPr>
      </w:pPr>
    </w:p>
    <w:p w14:paraId="64C85680">
      <w:pPr>
        <w:jc w:val="center"/>
        <w:rPr>
          <w:rFonts w:hint="eastAsia" w:ascii="仿宋_GB2312" w:hAnsi="仿宋_GB2312" w:eastAsia="仿宋_GB2312" w:cs="仿宋_GB2312"/>
          <w:color w:val="1F1F1F"/>
          <w:sz w:val="32"/>
          <w:szCs w:val="32"/>
          <w:lang w:val="en-US" w:eastAsia="zh-CN" w:bidi="ar-SA"/>
        </w:rPr>
      </w:pPr>
    </w:p>
    <w:p w14:paraId="430C9BC9">
      <w:pPr>
        <w:jc w:val="center"/>
        <w:rPr>
          <w:rFonts w:hint="eastAsia" w:ascii="仿宋_GB2312" w:hAnsi="仿宋_GB2312" w:eastAsia="仿宋_GB2312" w:cs="仿宋_GB2312"/>
          <w:color w:val="1F1F1F"/>
          <w:sz w:val="32"/>
          <w:szCs w:val="32"/>
          <w:lang w:val="en-US" w:eastAsia="zh-CN" w:bidi="ar-SA"/>
        </w:rPr>
      </w:pPr>
    </w:p>
    <w:p w14:paraId="613862E9">
      <w:pPr>
        <w:jc w:val="center"/>
        <w:rPr>
          <w:rFonts w:hint="eastAsia" w:ascii="仿宋_GB2312" w:hAnsi="仿宋_GB2312" w:eastAsia="仿宋_GB2312" w:cs="仿宋_GB2312"/>
          <w:color w:val="1F1F1F"/>
          <w:sz w:val="32"/>
          <w:szCs w:val="32"/>
          <w:lang w:val="en-US" w:eastAsia="zh-CN" w:bidi="ar-SA"/>
        </w:rPr>
      </w:pPr>
    </w:p>
    <w:p w14:paraId="32FE40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4440C771">
      <w:pPr>
        <w:pStyle w:val="3"/>
        <w:spacing w:before="280" w:after="120" w:line="276" w:lineRule="auto"/>
        <w:jc w:val="center"/>
        <w:rPr>
          <w:rFonts w:hint="eastAsia" w:ascii="国标小标宋" w:hAnsi="国标小标宋" w:eastAsia="国标小标宋" w:cs="国标小标宋"/>
          <w:b w:val="0"/>
          <w:bCs w:val="0"/>
          <w:color w:val="auto"/>
          <w:sz w:val="44"/>
          <w:szCs w:val="44"/>
        </w:rPr>
      </w:pPr>
      <w:r>
        <w:rPr>
          <w:rFonts w:hint="eastAsia" w:ascii="国标小标宋" w:hAnsi="国标小标宋" w:eastAsia="国标小标宋" w:cs="国标小标宋"/>
          <w:b w:val="0"/>
          <w:bCs w:val="0"/>
          <w:color w:val="auto"/>
          <w:sz w:val="44"/>
          <w:szCs w:val="44"/>
        </w:rPr>
        <w:t>资格条件承诺函</w:t>
      </w:r>
    </w:p>
    <w:p w14:paraId="321D5AB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p w14:paraId="3444E59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东莞市交通运输局：</w:t>
      </w:r>
    </w:p>
    <w:p w14:paraId="31941F45">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我方参加</w:t>
      </w:r>
      <w:r>
        <w:rPr>
          <w:rFonts w:hint="eastAsia" w:ascii="仿宋_GB2312" w:hAnsi="仿宋_GB2312" w:eastAsia="仿宋_GB2312" w:cs="仿宋_GB2312"/>
          <w:sz w:val="32"/>
          <w:szCs w:val="32"/>
          <w:u w:val="single"/>
        </w:rPr>
        <w:t>东莞市公路货运统计分析及发展对策研究项目</w:t>
      </w:r>
      <w:r>
        <w:rPr>
          <w:rFonts w:hint="eastAsia" w:ascii="仿宋_GB2312" w:hAnsi="仿宋_GB2312" w:eastAsia="仿宋_GB2312" w:cs="仿宋_GB2312"/>
          <w:sz w:val="32"/>
          <w:szCs w:val="32"/>
        </w:rPr>
        <w:t>采购，现郑重承诺，参加本次政府采购活动前三年内：</w:t>
      </w:r>
    </w:p>
    <w:p w14:paraId="68A86875">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方符合《中华人民共和国政府采购法》第22条规定的资格条件，即：（1）我方具有独立承担民事责任的能力；（2）我方具有良好的商业信誉和健全的财务会计制度；（3）我方具有履行合同所必需的设备和专业技术能力；（4）我方有依法缴纳税收和社会保障资金的良好记录；（5）我方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0AA56F8D">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2.到本项目采购截止时间为止，我方未被“信用中国”（www.creditchina.gov.cn）、中国政府采购网（www.ccgp.gov.cn）列入失信被执行人名单、重大税收违法案件当事人名单、政府采购严重违法失信行为记录名单。</w:t>
      </w:r>
    </w:p>
    <w:p w14:paraId="009D1D97">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3.我方与参加本次项目同一合同项下政府采购活动的其他服务商不存在单位负责人为同一人或者直接控股、管理关系。</w:t>
      </w:r>
    </w:p>
    <w:p w14:paraId="08D31A09">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4.我方不属于公益一类事业单位。</w:t>
      </w:r>
    </w:p>
    <w:p w14:paraId="034E57F7">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以上承诺如有虚假，愿接受取消我方任何资格（投标/成交/签订合同）及其他任何形式的处理。</w:t>
      </w:r>
    </w:p>
    <w:p w14:paraId="16D61571">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p w14:paraId="595B9BDE">
      <w:pPr>
        <w:keepNext w:val="0"/>
        <w:keepLines w:val="0"/>
        <w:pageBreakBefore w:val="0"/>
        <w:widowControl/>
        <w:kinsoku/>
        <w:wordWrap/>
        <w:overflowPunct/>
        <w:topLinePunct w:val="0"/>
        <w:autoSpaceDE/>
        <w:autoSpaceDN/>
        <w:bidi w:val="0"/>
        <w:adjustRightInd/>
        <w:snapToGrid/>
        <w:spacing w:line="240"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服务商全称（盖章）：</w:t>
      </w:r>
    </w:p>
    <w:p w14:paraId="00C06012">
      <w:pPr>
        <w:keepNext w:val="0"/>
        <w:keepLines w:val="0"/>
        <w:pageBreakBefore w:val="0"/>
        <w:widowControl/>
        <w:kinsoku/>
        <w:wordWrap/>
        <w:overflowPunct/>
        <w:topLinePunct w:val="0"/>
        <w:autoSpaceDE/>
        <w:autoSpaceDN/>
        <w:bidi w:val="0"/>
        <w:adjustRightInd/>
        <w:snapToGrid/>
        <w:spacing w:line="240"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法定代表人或其授权代表（签字或盖章）：</w:t>
      </w:r>
    </w:p>
    <w:p w14:paraId="2AEA9328">
      <w:pPr>
        <w:keepNext w:val="0"/>
        <w:keepLines w:val="0"/>
        <w:pageBreakBefore w:val="0"/>
        <w:widowControl/>
        <w:kinsoku/>
        <w:wordWrap/>
        <w:overflowPunct/>
        <w:topLinePunct w:val="0"/>
        <w:autoSpaceDE/>
        <w:autoSpaceDN/>
        <w:bidi w:val="0"/>
        <w:adjustRightInd/>
        <w:snapToGrid/>
        <w:spacing w:line="240"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06BFA1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w:t>
      </w:r>
    </w:p>
    <w:p w14:paraId="75C75F9A">
      <w:pPr>
        <w:pStyle w:val="3"/>
        <w:spacing w:before="280" w:after="120" w:line="276" w:lineRule="auto"/>
        <w:jc w:val="center"/>
        <w:rPr>
          <w:rFonts w:hint="eastAsia" w:ascii="国标小标宋" w:hAnsi="国标小标宋" w:eastAsia="国标小标宋" w:cs="国标小标宋"/>
          <w:b w:val="0"/>
          <w:bCs w:val="0"/>
          <w:color w:val="auto"/>
          <w:sz w:val="44"/>
          <w:szCs w:val="44"/>
        </w:rPr>
      </w:pPr>
      <w:r>
        <w:rPr>
          <w:rFonts w:hint="eastAsia" w:ascii="国标小标宋" w:hAnsi="国标小标宋" w:eastAsia="国标小标宋" w:cs="国标小标宋"/>
          <w:b w:val="0"/>
          <w:bCs w:val="0"/>
          <w:color w:val="auto"/>
          <w:sz w:val="44"/>
          <w:szCs w:val="44"/>
        </w:rPr>
        <w:t>法定代表人授权书</w:t>
      </w:r>
    </w:p>
    <w:p w14:paraId="1C57CB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东莞市交通运输局：</w:t>
      </w:r>
    </w:p>
    <w:p w14:paraId="204C4790">
      <w:pPr>
        <w:keepNext w:val="0"/>
        <w:keepLines w:val="0"/>
        <w:pageBreakBefore w:val="0"/>
        <w:widowControl/>
        <w:kinsoku/>
        <w:wordWrap/>
        <w:overflowPunct/>
        <w:topLinePunct w:val="0"/>
        <w:autoSpaceDE/>
        <w:autoSpaceDN/>
        <w:bidi w:val="0"/>
        <w:adjustRightInd/>
        <w:snapToGrid/>
        <w:spacing w:line="240" w:lineRule="auto"/>
        <w:ind w:firstLine="440" w:firstLineChars="200"/>
        <w:textAlignment w:val="auto"/>
        <w:rPr>
          <w:rFonts w:hint="eastAsia" w:ascii="仿宋_GB2312" w:hAnsi="仿宋_GB2312" w:eastAsia="仿宋_GB2312" w:cs="仿宋_GB2312"/>
          <w:sz w:val="32"/>
          <w:szCs w:val="32"/>
        </w:rPr>
      </w:pPr>
      <w:r>
        <w:rPr>
          <w:color w:val="000000"/>
          <w:sz w:val="22"/>
          <w:szCs w:val="22"/>
          <w:u w:val="single"/>
        </w:rPr>
        <w:t xml:space="preserve">             </w:t>
      </w:r>
      <w:r>
        <w:rPr>
          <w:rFonts w:hint="eastAsia"/>
          <w:color w:val="000000"/>
          <w:sz w:val="22"/>
          <w:szCs w:val="22"/>
          <w:u w:val="single"/>
          <w:lang w:val="en-US" w:eastAsia="zh-CN"/>
        </w:rPr>
        <w:t xml:space="preserve">      </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sz w:val="32"/>
          <w:szCs w:val="32"/>
        </w:rPr>
        <w:t>服务商全称）法定代表人</w:t>
      </w:r>
      <w:r>
        <w:rPr>
          <w:color w:val="000000"/>
          <w:sz w:val="22"/>
          <w:szCs w:val="22"/>
          <w:u w:val="single"/>
        </w:rPr>
        <w:t xml:space="preserve">          </w:t>
      </w:r>
      <w:r>
        <w:rPr>
          <w:rFonts w:hint="eastAsia"/>
          <w:color w:val="000000"/>
          <w:sz w:val="22"/>
          <w:szCs w:val="22"/>
          <w:u w:val="single"/>
          <w:lang w:val="en-US" w:eastAsia="zh-CN"/>
        </w:rPr>
        <w:t xml:space="preserve">       </w:t>
      </w:r>
      <w:r>
        <w:rPr>
          <w:rFonts w:hint="eastAsia" w:ascii="仿宋_GB2312" w:hAnsi="仿宋_GB2312" w:eastAsia="仿宋_GB2312" w:cs="仿宋_GB2312"/>
          <w:sz w:val="32"/>
          <w:szCs w:val="32"/>
        </w:rPr>
        <w:t>授权</w:t>
      </w:r>
      <w:r>
        <w:rPr>
          <w:color w:val="000000"/>
          <w:sz w:val="22"/>
          <w:szCs w:val="22"/>
          <w:u w:val="single"/>
        </w:rPr>
        <w:t xml:space="preserve">         </w:t>
      </w:r>
      <w:r>
        <w:rPr>
          <w:rFonts w:hint="eastAsia"/>
          <w:color w:val="000000"/>
          <w:sz w:val="22"/>
          <w:szCs w:val="22"/>
          <w:u w:val="single"/>
          <w:lang w:val="en-US" w:eastAsia="zh-CN"/>
        </w:rPr>
        <w:t xml:space="preserve">       </w:t>
      </w:r>
      <w:r>
        <w:rPr>
          <w:rFonts w:hint="eastAsia" w:ascii="仿宋_GB2312" w:hAnsi="仿宋_GB2312" w:eastAsia="仿宋_GB2312" w:cs="仿宋_GB2312"/>
          <w:sz w:val="32"/>
          <w:szCs w:val="32"/>
        </w:rPr>
        <w:t>（全权代表姓名）为全权代表，参加贵局组织的</w:t>
      </w:r>
      <w:r>
        <w:rPr>
          <w:rFonts w:hint="eastAsia" w:ascii="仿宋_GB2312" w:hAnsi="仿宋_GB2312" w:eastAsia="仿宋_GB2312" w:cs="仿宋_GB2312"/>
          <w:sz w:val="32"/>
          <w:szCs w:val="32"/>
          <w:u w:val="single"/>
        </w:rPr>
        <w:t>东莞市公路货运统计分析及发展对策研究项目</w:t>
      </w:r>
      <w:r>
        <w:rPr>
          <w:rFonts w:hint="eastAsia" w:ascii="仿宋_GB2312" w:hAnsi="仿宋_GB2312" w:eastAsia="仿宋_GB2312" w:cs="仿宋_GB2312"/>
          <w:sz w:val="32"/>
          <w:szCs w:val="32"/>
        </w:rPr>
        <w:t>采购活动，全权代表我方处理采购活动中的一切事宜。</w:t>
      </w:r>
    </w:p>
    <w:p w14:paraId="77CDA854">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p w14:paraId="37C0C011">
      <w:pPr>
        <w:keepNext w:val="0"/>
        <w:keepLines w:val="0"/>
        <w:pageBreakBefore w:val="0"/>
        <w:widowControl/>
        <w:kinsoku/>
        <w:wordWrap/>
        <w:overflowPunct/>
        <w:topLinePunct w:val="0"/>
        <w:autoSpaceDE/>
        <w:autoSpaceDN/>
        <w:bidi w:val="0"/>
        <w:adjustRightInd/>
        <w:snapToGrid/>
        <w:spacing w:line="240"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29BD3076">
      <w:pPr>
        <w:keepNext w:val="0"/>
        <w:keepLines w:val="0"/>
        <w:pageBreakBefore w:val="0"/>
        <w:widowControl/>
        <w:kinsoku/>
        <w:wordWrap/>
        <w:overflowPunct/>
        <w:topLinePunct w:val="0"/>
        <w:autoSpaceDE/>
        <w:autoSpaceDN/>
        <w:bidi w:val="0"/>
        <w:adjustRightInd/>
        <w:snapToGrid/>
        <w:spacing w:line="240"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服务商全称（公章）：</w:t>
      </w:r>
    </w:p>
    <w:p w14:paraId="3CBA3661">
      <w:pPr>
        <w:keepNext w:val="0"/>
        <w:keepLines w:val="0"/>
        <w:pageBreakBefore w:val="0"/>
        <w:widowControl/>
        <w:kinsoku/>
        <w:wordWrap/>
        <w:overflowPunct/>
        <w:topLinePunct w:val="0"/>
        <w:autoSpaceDE/>
        <w:autoSpaceDN/>
        <w:bidi w:val="0"/>
        <w:adjustRightInd/>
        <w:snapToGrid/>
        <w:spacing w:line="240"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w:t>
      </w:r>
    </w:p>
    <w:p w14:paraId="608AE3E0">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3506E52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授权代表姓名：</w:t>
      </w:r>
    </w:p>
    <w:p w14:paraId="3A810BD2">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w:t>
      </w:r>
    </w:p>
    <w:p w14:paraId="1E40A8C4">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详细通讯地址：</w:t>
      </w:r>
    </w:p>
    <w:p w14:paraId="4771CD1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p w14:paraId="10C3ADE0">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传真：</w:t>
      </w:r>
    </w:p>
    <w:p w14:paraId="24AB5AA5">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pPr>
      <w:r>
        <w:rPr>
          <w:rFonts w:hint="eastAsia" w:ascii="仿宋_GB2312" w:hAnsi="仿宋_GB2312" w:eastAsia="仿宋_GB2312" w:cs="仿宋_GB2312"/>
          <w:sz w:val="32"/>
          <w:szCs w:val="32"/>
        </w:rPr>
        <w:t>邮政编码：</w:t>
      </w:r>
      <w:r>
        <w:rPr>
          <w:color w:val="000000"/>
          <w:sz w:val="22"/>
          <w:szCs w:val="22"/>
          <w:u w:val="single"/>
        </w:rPr>
        <w:t xml:space="preserve">         </w:t>
      </w:r>
      <w:r>
        <w:rPr>
          <w:rFonts w:hint="eastAsia"/>
          <w:color w:val="000000"/>
          <w:sz w:val="22"/>
          <w:szCs w:val="22"/>
          <w:u w:val="single"/>
          <w:lang w:val="en-US" w:eastAsia="zh-CN"/>
        </w:rPr>
        <w:t xml:space="preserve">       </w:t>
      </w:r>
      <w:r>
        <w:rPr>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56515</wp:posOffset>
                </wp:positionH>
                <wp:positionV relativeFrom="paragraph">
                  <wp:posOffset>499110</wp:posOffset>
                </wp:positionV>
                <wp:extent cx="5800090" cy="2431415"/>
                <wp:effectExtent l="5080" t="4445" r="5080" b="21590"/>
                <wp:wrapNone/>
                <wp:docPr id="1029" name="矩形 1029"/>
                <wp:cNvGraphicFramePr/>
                <a:graphic xmlns:a="http://schemas.openxmlformats.org/drawingml/2006/main">
                  <a:graphicData uri="http://schemas.microsoft.com/office/word/2010/wordprocessingShape">
                    <wps:wsp>
                      <wps:cNvSpPr/>
                      <wps:spPr>
                        <a:xfrm>
                          <a:off x="0" y="0"/>
                          <a:ext cx="5800090" cy="24314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83B543">
                            <w:pPr>
                              <w:jc w:val="left"/>
                            </w:pPr>
                            <w:r>
                              <w:rPr>
                                <w:rFonts w:hint="eastAsia" w:ascii="新宋体" w:hAnsi="新宋体" w:eastAsia="新宋体"/>
                                <w:sz w:val="22"/>
                                <w:szCs w:val="22"/>
                              </w:rPr>
                              <w:t>授权代表身份证（正反面）：</w:t>
                            </w:r>
                          </w:p>
                        </w:txbxContent>
                      </wps:txbx>
                      <wps:bodyPr upright="1"/>
                    </wps:wsp>
                  </a:graphicData>
                </a:graphic>
              </wp:anchor>
            </w:drawing>
          </mc:Choice>
          <mc:Fallback>
            <w:pict>
              <v:rect id="_x0000_s1026" o:spid="_x0000_s1026" o:spt="1" style="position:absolute;left:0pt;margin-left:4.45pt;margin-top:39.3pt;height:191.45pt;width:456.7pt;z-index:251660288;mso-width-relative:page;mso-height-relative:page;" fillcolor="#FFFFFF" filled="t" stroked="t" coordsize="21600,21600" o:gfxdata="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faB8G1wAAAAgBAAAPAAAAAAAAAAEAIAAAACIA&#10;AABkcnMvZG93bnJldi54bWxQSwECFAAUAAAACACHTuJAKe9GNQoCAAA+BAAADgAAAAAAAAABACAA&#10;AAAmAQAAZHJzL2Uyb0RvYy54bWxQSwUGAAAAAAYABgBZAQAAogUAAAAA&#10;">
                <v:fill on="t" focussize="0,0"/>
                <v:stroke color="#000000" joinstyle="miter"/>
                <v:imagedata o:title=""/>
                <o:lock v:ext="edit" aspectratio="f"/>
                <v:textbox>
                  <w:txbxContent>
                    <w:p w14:paraId="1383B543">
                      <w:pPr>
                        <w:jc w:val="left"/>
                      </w:pPr>
                      <w:r>
                        <w:rPr>
                          <w:rFonts w:hint="eastAsia" w:ascii="新宋体" w:hAnsi="新宋体" w:eastAsia="新宋体"/>
                          <w:sz w:val="22"/>
                          <w:szCs w:val="22"/>
                        </w:rPr>
                        <w:t>授权代表身份证（正反面）：</w:t>
                      </w:r>
                    </w:p>
                  </w:txbxContent>
                </v:textbox>
              </v:rect>
            </w:pict>
          </mc:Fallback>
        </mc:AlternateContent>
      </w:r>
    </w:p>
    <w:sectPr>
      <w:footerReference r:id="rId5" w:type="default"/>
      <w:pgSz w:w="11906" w:h="16838"/>
      <w:pgMar w:top="1440" w:right="1440" w:bottom="1440" w:left="1440" w:header="709" w:footer="709" w:gutter="0"/>
      <w:pgBorders>
        <w:top w:val="none" w:sz="0" w:space="0"/>
        <w:left w:val="none" w:sz="0" w:space="0"/>
        <w:bottom w:val="none" w:sz="0" w:space="0"/>
        <w:right w:val="none" w:sz="0" w:space="0"/>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auto"/>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ＭＳ 明朝">
    <w:altName w:val="仿宋_GB2312"/>
    <w:panose1 w:val="00000000000000000000"/>
    <w:charset w:val="80"/>
    <w:family w:val="roman"/>
    <w:pitch w:val="default"/>
    <w:sig w:usb0="00000000" w:usb1="00000000" w:usb2="00000010" w:usb3="00000000" w:csb0="00020000" w:csb1="00000000"/>
  </w:font>
  <w:font w:name="仿宋_GB2312">
    <w:panose1 w:val="02010609030101010101"/>
    <w:charset w:val="86"/>
    <w:family w:val="auto"/>
    <w:pitch w:val="default"/>
    <w:sig w:usb0="00000001" w:usb1="080E0000" w:usb2="00000000" w:usb3="00000000" w:csb0="00040000" w:csb1="00000000"/>
  </w:font>
  <w:font w:name="ＭＳ 明朝">
    <w:altName w:val="仿宋_GB2312"/>
    <w:panose1 w:val="00000000000000000000"/>
    <w:charset w:val="86"/>
    <w:family w:val="auto"/>
    <w:pitch w:val="default"/>
    <w:sig w:usb0="00000000" w:usb1="00000000" w:usb2="00000000" w:usb3="00000000" w:csb0="00000000" w:csb1="00000000"/>
  </w:font>
  <w:font w:name="PingFang SC">
    <w:altName w:val="思源黑体"/>
    <w:panose1 w:val="020B0400000000000000"/>
    <w:charset w:val="86"/>
    <w:family w:val="auto"/>
    <w:pitch w:val="default"/>
    <w:sig w:usb0="00000000" w:usb1="00000000" w:usb2="00000017" w:usb3="00000000" w:csb0="00040001" w:csb1="00000000"/>
  </w:font>
  <w:font w:name="思源黑体">
    <w:panose1 w:val="020B0500000000000000"/>
    <w:charset w:val="86"/>
    <w:family w:val="auto"/>
    <w:pitch w:val="default"/>
    <w:sig w:usb0="30000083" w:usb1="2BDF3C10" w:usb2="00000016" w:usb3="00000000" w:csb0="602E0107" w:csb1="00000000"/>
  </w:font>
  <w:font w:name="ＭＳ ゴシック">
    <w:altName w:val="仿宋_GB2312"/>
    <w:panose1 w:val="00000000000000000000"/>
    <w:charset w:val="80"/>
    <w:family w:val="modern"/>
    <w:pitch w:val="default"/>
    <w:sig w:usb0="00000000" w:usb1="00000000" w:usb2="00000010" w:usb3="00000000" w:csb0="00020000" w:csb1="00000000"/>
  </w:font>
  <w:font w:name="ＭＳ 明朝">
    <w:altName w:val="仿宋_GB2312"/>
    <w:panose1 w:val="00000000000000000000"/>
    <w:charset w:val="00"/>
    <w:family w:val="auto"/>
    <w:pitch w:val="default"/>
    <w:sig w:usb0="00000000" w:usb1="00000000" w:usb2="00000000" w:usb3="00000000" w:csb0="00000000"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国标小标宋">
    <w:panose1 w:val="02000500000000000000"/>
    <w:charset w:val="86"/>
    <w:family w:val="auto"/>
    <w:pitch w:val="default"/>
    <w:sig w:usb0="00000001" w:usb1="08000000" w:usb2="00000000" w:usb3="00000000" w:csb0="00060007" w:csb1="00000000"/>
  </w:font>
  <w:font w:name="国标黑体">
    <w:panose1 w:val="02000500000000000000"/>
    <w:charset w:val="86"/>
    <w:family w:val="auto"/>
    <w:pitch w:val="default"/>
    <w:sig w:usb0="00000001" w:usb1="08000000" w:usb2="00000000"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16" w:usb3="00000000" w:csb0="00040001" w:csb1="00000000"/>
  </w:font>
  <w:font w:name="ＭＳ ゴシック">
    <w:altName w:val="仿宋_GB2312"/>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DE69">
    <w:pPr>
      <w:pStyle w:val="30"/>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ADF93">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FADF93">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6"/>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9"/>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6FC8D56"/>
    <w:rsid w:val="1F9961AA"/>
    <w:rsid w:val="1FD99E38"/>
    <w:rsid w:val="295FE943"/>
    <w:rsid w:val="37F36B1E"/>
    <w:rsid w:val="3FAC6170"/>
    <w:rsid w:val="3FDE38EC"/>
    <w:rsid w:val="3FFFE9DD"/>
    <w:rsid w:val="47F5B5E1"/>
    <w:rsid w:val="4E7F6B57"/>
    <w:rsid w:val="4F7F278E"/>
    <w:rsid w:val="4FE7A08A"/>
    <w:rsid w:val="59BED0B0"/>
    <w:rsid w:val="5FFBC241"/>
    <w:rsid w:val="65FD59E4"/>
    <w:rsid w:val="66A7AA1A"/>
    <w:rsid w:val="677F63A9"/>
    <w:rsid w:val="67B862E9"/>
    <w:rsid w:val="6B5CBCA7"/>
    <w:rsid w:val="701F1403"/>
    <w:rsid w:val="777BD2FA"/>
    <w:rsid w:val="77BCE104"/>
    <w:rsid w:val="79F79336"/>
    <w:rsid w:val="7AC7EBBE"/>
    <w:rsid w:val="7AFBB794"/>
    <w:rsid w:val="7C75E337"/>
    <w:rsid w:val="7D1FB6A1"/>
    <w:rsid w:val="7DEDF972"/>
    <w:rsid w:val="7FF151D9"/>
    <w:rsid w:val="9BEF0DBF"/>
    <w:rsid w:val="9FB70617"/>
    <w:rsid w:val="A5FF72CA"/>
    <w:rsid w:val="A7DFCA9D"/>
    <w:rsid w:val="B5A174C4"/>
    <w:rsid w:val="B7B3105E"/>
    <w:rsid w:val="BBBE1745"/>
    <w:rsid w:val="BDD64030"/>
    <w:rsid w:val="BEDF8881"/>
    <w:rsid w:val="BF6E9BEE"/>
    <w:rsid w:val="D6D72D89"/>
    <w:rsid w:val="DEE59820"/>
    <w:rsid w:val="E9FE4493"/>
    <w:rsid w:val="EBE90D29"/>
    <w:rsid w:val="EDCB478E"/>
    <w:rsid w:val="EFF90765"/>
    <w:rsid w:val="F67D6386"/>
    <w:rsid w:val="F7CDFEF5"/>
    <w:rsid w:val="FB1A7AD1"/>
    <w:rsid w:val="FD7F3385"/>
    <w:rsid w:val="FDEFB2D5"/>
    <w:rsid w:val="FDFC4741"/>
    <w:rsid w:val="FDFE8478"/>
    <w:rsid w:val="FE2BABCA"/>
    <w:rsid w:val="FFFF890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76" w:lineRule="auto"/>
    </w:pPr>
    <w:rPr>
      <w:rFonts w:ascii="PingFang SC" w:hAnsi="PingFang SC" w:eastAsia="PingFang SC" w:cstheme="minorBidi"/>
      <w:color w:val="1F1F1F"/>
      <w:sz w:val="21"/>
      <w:szCs w:val="22"/>
      <w:lang w:val="en-US" w:eastAsia="en-US" w:bidi="ar-SA"/>
    </w:rPr>
  </w:style>
  <w:style w:type="paragraph" w:styleId="3">
    <w:name w:val="heading 1"/>
    <w:basedOn w:val="1"/>
    <w:next w:val="1"/>
    <w:link w:val="144"/>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5"/>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6"/>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6"/>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7"/>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8"/>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9"/>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60"/>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1"/>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8">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macro"/>
    <w:link w:val="153"/>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spacing w:after="120" w:line="276" w:lineRule="auto"/>
      <w:contextualSpacing/>
    </w:pPr>
    <w:rPr>
      <w:rFonts w:ascii="PingFang SC" w:hAnsi="PingFang SC" w:eastAsia="PingFang SC"/>
      <w:color w:val="1F1F1F"/>
      <w:sz w:val="21"/>
    </w:r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spacing w:after="120" w:line="276" w:lineRule="auto"/>
      <w:contextualSpacing/>
    </w:pPr>
    <w:rPr>
      <w:rFonts w:ascii="PingFang SC" w:hAnsi="PingFang SC" w:eastAsia="PingFang SC"/>
      <w:color w:val="1F1F1F"/>
      <w:sz w:val="21"/>
    </w:rPr>
  </w:style>
  <w:style w:type="paragraph" w:styleId="17">
    <w:name w:val="Body Text 3"/>
    <w:basedOn w:val="1"/>
    <w:link w:val="152"/>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50"/>
    <w:unhideWhenUsed/>
    <w:qFormat/>
    <w:uiPriority w:val="99"/>
    <w:pPr>
      <w:spacing w:after="120"/>
    </w:pPr>
  </w:style>
  <w:style w:type="paragraph" w:styleId="20">
    <w:name w:val="Body Text Indent"/>
    <w:basedOn w:val="1"/>
    <w:next w:val="21"/>
    <w:qFormat/>
    <w:uiPriority w:val="0"/>
    <w:pPr>
      <w:ind w:left="480" w:hanging="480" w:hangingChars="200"/>
    </w:pPr>
    <w:rPr>
      <w:sz w:val="24"/>
    </w:rPr>
  </w:style>
  <w:style w:type="paragraph" w:customStyle="1" w:styleId="21">
    <w:name w:val="正文文本首行缩进 21"/>
    <w:basedOn w:val="22"/>
    <w:qFormat/>
    <w:uiPriority w:val="99"/>
    <w:pPr>
      <w:tabs>
        <w:tab w:val="right" w:leader="dot" w:pos="8268"/>
      </w:tabs>
      <w:spacing w:line="200" w:lineRule="atLeast"/>
      <w:ind w:firstLine="420"/>
    </w:pPr>
    <w:rPr>
      <w:rFonts w:hAnsi="Courier New"/>
      <w:spacing w:val="-4"/>
      <w:sz w:val="18"/>
    </w:rPr>
  </w:style>
  <w:style w:type="paragraph" w:customStyle="1" w:styleId="22">
    <w:name w:val="正文缩进1"/>
    <w:basedOn w:val="23"/>
    <w:next w:val="21"/>
    <w:qFormat/>
    <w:uiPriority w:val="0"/>
    <w:pPr>
      <w:autoSpaceDE w:val="0"/>
      <w:autoSpaceDN w:val="0"/>
      <w:adjustRightInd w:val="0"/>
      <w:snapToGrid w:val="0"/>
      <w:spacing w:after="120"/>
      <w:ind w:left="420" w:leftChars="200" w:firstLine="480" w:firstLineChars="200"/>
    </w:pPr>
    <w:rPr>
      <w:sz w:val="24"/>
      <w:szCs w:val="21"/>
    </w:rPr>
  </w:style>
  <w:style w:type="paragraph" w:customStyle="1" w:styleId="23">
    <w:name w:val="正文1"/>
    <w:basedOn w:val="24"/>
    <w:next w:val="25"/>
    <w:qFormat/>
    <w:uiPriority w:val="0"/>
    <w:pPr>
      <w:widowControl/>
      <w:spacing w:line="360" w:lineRule="auto"/>
      <w:ind w:left="360" w:firstLine="420"/>
      <w:jc w:val="left"/>
    </w:pPr>
    <w:rPr>
      <w:rFonts w:ascii="宋体" w:hAnsi="宋体" w:cs="宋体"/>
      <w:kern w:val="0"/>
      <w:szCs w:val="20"/>
    </w:rPr>
  </w:style>
  <w:style w:type="paragraph" w:styleId="24">
    <w:name w:val="toc 3"/>
    <w:basedOn w:val="1"/>
    <w:next w:val="1"/>
    <w:qFormat/>
    <w:uiPriority w:val="0"/>
    <w:pPr>
      <w:ind w:left="840" w:leftChars="400"/>
    </w:pPr>
  </w:style>
  <w:style w:type="paragraph" w:customStyle="1" w:styleId="25">
    <w:name w:val="标题 21"/>
    <w:basedOn w:val="23"/>
    <w:next w:val="23"/>
    <w:qFormat/>
    <w:uiPriority w:val="0"/>
    <w:pPr>
      <w:keepNext/>
      <w:keepLines/>
      <w:tabs>
        <w:tab w:val="left" w:pos="706"/>
      </w:tabs>
      <w:ind w:left="106" w:firstLine="454"/>
      <w:outlineLvl w:val="1"/>
    </w:pPr>
    <w:rPr>
      <w:rFonts w:ascii="Arial" w:hAnsi="Arial" w:eastAsia="??"/>
      <w:b/>
      <w:bCs/>
      <w:szCs w:val="32"/>
    </w:rPr>
  </w:style>
  <w:style w:type="paragraph" w:styleId="26">
    <w:name w:val="List Number 3"/>
    <w:basedOn w:val="1"/>
    <w:unhideWhenUsed/>
    <w:qFormat/>
    <w:uiPriority w:val="99"/>
    <w:pPr>
      <w:numPr>
        <w:ilvl w:val="0"/>
        <w:numId w:val="5"/>
      </w:numPr>
      <w:contextualSpacing/>
    </w:pPr>
  </w:style>
  <w:style w:type="paragraph" w:styleId="27">
    <w:name w:val="List 2"/>
    <w:basedOn w:val="1"/>
    <w:unhideWhenUsed/>
    <w:qFormat/>
    <w:uiPriority w:val="99"/>
    <w:pPr>
      <w:ind w:left="720" w:hanging="360"/>
      <w:contextualSpacing/>
    </w:pPr>
  </w:style>
  <w:style w:type="paragraph" w:styleId="28">
    <w:name w:val="List Continue"/>
    <w:basedOn w:val="1"/>
    <w:unhideWhenUsed/>
    <w:qFormat/>
    <w:uiPriority w:val="99"/>
    <w:pPr>
      <w:spacing w:after="120"/>
      <w:ind w:left="360"/>
      <w:contextualSpacing/>
    </w:pPr>
  </w:style>
  <w:style w:type="paragraph" w:styleId="29">
    <w:name w:val="List Bullet 2"/>
    <w:basedOn w:val="1"/>
    <w:unhideWhenUsed/>
    <w:qFormat/>
    <w:uiPriority w:val="99"/>
    <w:pPr>
      <w:numPr>
        <w:ilvl w:val="0"/>
        <w:numId w:val="6"/>
      </w:numPr>
      <w:contextualSpacing/>
    </w:pPr>
  </w:style>
  <w:style w:type="paragraph" w:styleId="30">
    <w:name w:val="footer"/>
    <w:basedOn w:val="1"/>
    <w:link w:val="142"/>
    <w:unhideWhenUsed/>
    <w:qFormat/>
    <w:uiPriority w:val="99"/>
    <w:pPr>
      <w:tabs>
        <w:tab w:val="center" w:pos="4680"/>
        <w:tab w:val="right" w:pos="9360"/>
      </w:tabs>
      <w:spacing w:after="0" w:line="240" w:lineRule="auto"/>
    </w:pPr>
  </w:style>
  <w:style w:type="paragraph" w:styleId="31">
    <w:name w:val="header"/>
    <w:basedOn w:val="1"/>
    <w:link w:val="141"/>
    <w:unhideWhenUsed/>
    <w:qFormat/>
    <w:uiPriority w:val="99"/>
    <w:pPr>
      <w:tabs>
        <w:tab w:val="center" w:pos="4680"/>
        <w:tab w:val="right" w:pos="9360"/>
      </w:tabs>
      <w:spacing w:after="0" w:line="240" w:lineRule="auto"/>
    </w:pPr>
  </w:style>
  <w:style w:type="paragraph" w:styleId="32">
    <w:name w:val="Subtitle"/>
    <w:basedOn w:val="1"/>
    <w:next w:val="1"/>
    <w:link w:val="14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3">
    <w:name w:val="List"/>
    <w:basedOn w:val="1"/>
    <w:unhideWhenUsed/>
    <w:qFormat/>
    <w:uiPriority w:val="99"/>
    <w:pPr>
      <w:ind w:left="360" w:hanging="360"/>
      <w:contextualSpacing/>
    </w:pPr>
  </w:style>
  <w:style w:type="paragraph" w:styleId="34">
    <w:name w:val="Body Text 2"/>
    <w:basedOn w:val="1"/>
    <w:link w:val="151"/>
    <w:unhideWhenUsed/>
    <w:qFormat/>
    <w:uiPriority w:val="99"/>
    <w:pPr>
      <w:spacing w:after="120" w:line="480" w:lineRule="auto"/>
    </w:pPr>
  </w:style>
  <w:style w:type="paragraph" w:styleId="35">
    <w:name w:val="List Continue 2"/>
    <w:basedOn w:val="1"/>
    <w:unhideWhenUsed/>
    <w:qFormat/>
    <w:uiPriority w:val="99"/>
    <w:pPr>
      <w:spacing w:after="120"/>
      <w:ind w:left="720"/>
      <w:contextualSpacing/>
    </w:pPr>
  </w:style>
  <w:style w:type="paragraph" w:styleId="36">
    <w:name w:val="List Continue 3"/>
    <w:basedOn w:val="1"/>
    <w:unhideWhenUsed/>
    <w:qFormat/>
    <w:uiPriority w:val="99"/>
    <w:pPr>
      <w:spacing w:after="120"/>
      <w:ind w:left="1080"/>
      <w:contextualSpacing/>
    </w:pPr>
  </w:style>
  <w:style w:type="paragraph" w:styleId="37">
    <w:name w:val="Title"/>
    <w:basedOn w:val="1"/>
    <w:next w:val="1"/>
    <w:link w:val="147"/>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9">
    <w:name w:val="Table Grid"/>
    <w:basedOn w:val="3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0">
    <w:name w:val="Light Shading"/>
    <w:basedOn w:val="38"/>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1">
    <w:name w:val="Light Shading Accent 1"/>
    <w:basedOn w:val="38"/>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2">
    <w:name w:val="Light Shading Accent 2"/>
    <w:basedOn w:val="38"/>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3">
    <w:name w:val="Light Shading Accent 3"/>
    <w:basedOn w:val="38"/>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4">
    <w:name w:val="Light Shading Accent 4"/>
    <w:basedOn w:val="38"/>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5">
    <w:name w:val="Light Shading Accent 5"/>
    <w:basedOn w:val="38"/>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6">
    <w:name w:val="Light Shading Accent 6"/>
    <w:basedOn w:val="38"/>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7">
    <w:name w:val="Light List"/>
    <w:basedOn w:val="38"/>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8">
    <w:name w:val="Light List Accent 1"/>
    <w:basedOn w:val="38"/>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9">
    <w:name w:val="Light List Accent 2"/>
    <w:basedOn w:val="38"/>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0">
    <w:name w:val="Light List Accent 3"/>
    <w:basedOn w:val="38"/>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1">
    <w:name w:val="Light List Accent 4"/>
    <w:basedOn w:val="38"/>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2">
    <w:name w:val="Light List Accent 5"/>
    <w:basedOn w:val="38"/>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3">
    <w:name w:val="Light List Accent 6"/>
    <w:basedOn w:val="38"/>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4">
    <w:name w:val="Light Grid"/>
    <w:basedOn w:val="38"/>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5">
    <w:name w:val="Light Grid Accent 1"/>
    <w:basedOn w:val="38"/>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6">
    <w:name w:val="Light Grid Accent 2"/>
    <w:basedOn w:val="38"/>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7">
    <w:name w:val="Light Grid Accent 3"/>
    <w:basedOn w:val="38"/>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8">
    <w:name w:val="Light Grid Accent 4"/>
    <w:basedOn w:val="38"/>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9">
    <w:name w:val="Light Grid Accent 5"/>
    <w:basedOn w:val="38"/>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0">
    <w:name w:val="Light Grid Accent 6"/>
    <w:basedOn w:val="38"/>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1">
    <w:name w:val="Medium Shading 1"/>
    <w:basedOn w:val="38"/>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2">
    <w:name w:val="Medium Shading 1 Accent 1"/>
    <w:basedOn w:val="38"/>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3">
    <w:name w:val="Medium Shading 1 Accent 2"/>
    <w:basedOn w:val="38"/>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4">
    <w:name w:val="Medium Shading 1 Accent 3"/>
    <w:basedOn w:val="38"/>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5">
    <w:name w:val="Medium Shading 1 Accent 4"/>
    <w:basedOn w:val="38"/>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6">
    <w:name w:val="Medium Shading 1 Accent 5"/>
    <w:basedOn w:val="38"/>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7">
    <w:name w:val="Medium Shading 1 Accent 6"/>
    <w:basedOn w:val="38"/>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8">
    <w:name w:val="Medium Shading 2"/>
    <w:basedOn w:val="3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1"/>
    <w:basedOn w:val="3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2"/>
    <w:basedOn w:val="3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3"/>
    <w:basedOn w:val="3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4"/>
    <w:basedOn w:val="3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5"/>
    <w:basedOn w:val="3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6"/>
    <w:basedOn w:val="38"/>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List 1"/>
    <w:basedOn w:val="38"/>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6">
    <w:name w:val="Medium List 1 Accent 1"/>
    <w:basedOn w:val="38"/>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7">
    <w:name w:val="Medium List 1 Accent 2"/>
    <w:basedOn w:val="38"/>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8">
    <w:name w:val="Medium List 1 Accent 3"/>
    <w:basedOn w:val="38"/>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9">
    <w:name w:val="Medium List 1 Accent 4"/>
    <w:basedOn w:val="38"/>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0">
    <w:name w:val="Medium List 1 Accent 5"/>
    <w:basedOn w:val="38"/>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1">
    <w:name w:val="Medium List 1 Accent 6"/>
    <w:basedOn w:val="38"/>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2">
    <w:name w:val="Medium List 2"/>
    <w:basedOn w:val="3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1"/>
    <w:basedOn w:val="3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2"/>
    <w:basedOn w:val="3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3"/>
    <w:basedOn w:val="3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4"/>
    <w:basedOn w:val="3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5"/>
    <w:basedOn w:val="3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6"/>
    <w:basedOn w:val="38"/>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w:basedOn w:val="38"/>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0">
    <w:name w:val="Medium Grid 1 Accent 1"/>
    <w:basedOn w:val="38"/>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1">
    <w:name w:val="Medium Grid 1 Accent 2"/>
    <w:basedOn w:val="38"/>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2">
    <w:name w:val="Medium Grid 1 Accent 3"/>
    <w:basedOn w:val="38"/>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3">
    <w:name w:val="Medium Grid 1 Accent 4"/>
    <w:basedOn w:val="38"/>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1 Accent 5"/>
    <w:basedOn w:val="38"/>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1 Accent 6"/>
    <w:basedOn w:val="38"/>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6">
    <w:name w:val="Medium Grid 2"/>
    <w:basedOn w:val="3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7">
    <w:name w:val="Medium Grid 2 Accent 1"/>
    <w:basedOn w:val="3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8">
    <w:name w:val="Medium Grid 2 Accent 2"/>
    <w:basedOn w:val="3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9">
    <w:name w:val="Medium Grid 2 Accent 3"/>
    <w:basedOn w:val="3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0">
    <w:name w:val="Medium Grid 2 Accent 4"/>
    <w:basedOn w:val="3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1">
    <w:name w:val="Medium Grid 2 Accent 5"/>
    <w:basedOn w:val="3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2">
    <w:name w:val="Medium Grid 2 Accent 6"/>
    <w:basedOn w:val="38"/>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3">
    <w:name w:val="Medium Grid 3"/>
    <w:basedOn w:val="3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4">
    <w:name w:val="Medium Grid 3 Accent 1"/>
    <w:basedOn w:val="3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5">
    <w:name w:val="Medium Grid 3 Accent 2"/>
    <w:basedOn w:val="3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6">
    <w:name w:val="Medium Grid 3 Accent 3"/>
    <w:basedOn w:val="3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7">
    <w:name w:val="Medium Grid 3 Accent 4"/>
    <w:basedOn w:val="3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8">
    <w:name w:val="Medium Grid 3 Accent 5"/>
    <w:basedOn w:val="3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9">
    <w:name w:val="Medium Grid 3 Accent 6"/>
    <w:basedOn w:val="38"/>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0">
    <w:name w:val="Dark List"/>
    <w:basedOn w:val="3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3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2">
    <w:name w:val="Dark List Accent 2"/>
    <w:basedOn w:val="3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3">
    <w:name w:val="Dark List Accent 3"/>
    <w:basedOn w:val="3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3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3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38"/>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7">
    <w:name w:val="Colorful Shading"/>
    <w:basedOn w:val="38"/>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1"/>
    <w:basedOn w:val="38"/>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2"/>
    <w:basedOn w:val="38"/>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3"/>
    <w:basedOn w:val="38"/>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1">
    <w:name w:val="Colorful Shading Accent 4"/>
    <w:basedOn w:val="38"/>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5"/>
    <w:basedOn w:val="38"/>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6"/>
    <w:basedOn w:val="38"/>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4">
    <w:name w:val="Colorful List"/>
    <w:basedOn w:val="3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5">
    <w:name w:val="Colorful List Accent 1"/>
    <w:basedOn w:val="3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6">
    <w:name w:val="Colorful List Accent 2"/>
    <w:basedOn w:val="3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7">
    <w:name w:val="Colorful List Accent 3"/>
    <w:basedOn w:val="3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8">
    <w:name w:val="Colorful List Accent 4"/>
    <w:basedOn w:val="3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9">
    <w:name w:val="Colorful List Accent 5"/>
    <w:basedOn w:val="3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0">
    <w:name w:val="Colorful List Accent 6"/>
    <w:basedOn w:val="38"/>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1">
    <w:name w:val="Colorful Grid"/>
    <w:basedOn w:val="3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2">
    <w:name w:val="Colorful Grid Accent 1"/>
    <w:basedOn w:val="3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3">
    <w:name w:val="Colorful Grid Accent 2"/>
    <w:basedOn w:val="3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4">
    <w:name w:val="Colorful Grid Accent 3"/>
    <w:basedOn w:val="3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5">
    <w:name w:val="Colorful Grid Accent 4"/>
    <w:basedOn w:val="3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6">
    <w:name w:val="Colorful Grid Accent 5"/>
    <w:basedOn w:val="3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7">
    <w:name w:val="Colorful Grid Accent 6"/>
    <w:basedOn w:val="38"/>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9">
    <w:name w:val="Strong"/>
    <w:basedOn w:val="138"/>
    <w:qFormat/>
    <w:uiPriority w:val="22"/>
    <w:rPr>
      <w:b/>
      <w:bCs/>
    </w:rPr>
  </w:style>
  <w:style w:type="character" w:styleId="140">
    <w:name w:val="Emphasis"/>
    <w:basedOn w:val="138"/>
    <w:qFormat/>
    <w:uiPriority w:val="20"/>
    <w:rPr>
      <w:i/>
      <w:iCs/>
    </w:rPr>
  </w:style>
  <w:style w:type="character" w:customStyle="1" w:styleId="141">
    <w:name w:val="Header Char"/>
    <w:basedOn w:val="138"/>
    <w:link w:val="31"/>
    <w:qFormat/>
    <w:uiPriority w:val="99"/>
  </w:style>
  <w:style w:type="character" w:customStyle="1" w:styleId="142">
    <w:name w:val="Footer Char"/>
    <w:basedOn w:val="138"/>
    <w:link w:val="30"/>
    <w:qFormat/>
    <w:uiPriority w:val="99"/>
  </w:style>
  <w:style w:type="paragraph" w:styleId="143">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4">
    <w:name w:val="Heading 1 Char"/>
    <w:basedOn w:val="138"/>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5">
    <w:name w:val="Heading 2 Char"/>
    <w:basedOn w:val="138"/>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6">
    <w:name w:val="Heading 3 Char"/>
    <w:basedOn w:val="138"/>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7">
    <w:name w:val="Title Char"/>
    <w:basedOn w:val="138"/>
    <w:link w:val="3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8">
    <w:name w:val="Subtitle Char"/>
    <w:basedOn w:val="138"/>
    <w:link w:val="3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9">
    <w:name w:val="List Paragraph"/>
    <w:basedOn w:val="1"/>
    <w:qFormat/>
    <w:uiPriority w:val="34"/>
    <w:pPr>
      <w:ind w:left="720"/>
      <w:contextualSpacing/>
    </w:pPr>
  </w:style>
  <w:style w:type="character" w:customStyle="1" w:styleId="150">
    <w:name w:val="Body Text Char"/>
    <w:basedOn w:val="138"/>
    <w:link w:val="19"/>
    <w:qFormat/>
    <w:uiPriority w:val="99"/>
  </w:style>
  <w:style w:type="character" w:customStyle="1" w:styleId="151">
    <w:name w:val="Body Text 2 Char"/>
    <w:basedOn w:val="138"/>
    <w:link w:val="34"/>
    <w:qFormat/>
    <w:uiPriority w:val="99"/>
  </w:style>
  <w:style w:type="character" w:customStyle="1" w:styleId="152">
    <w:name w:val="Body Text 3 Char"/>
    <w:basedOn w:val="138"/>
    <w:link w:val="17"/>
    <w:qFormat/>
    <w:uiPriority w:val="99"/>
    <w:rPr>
      <w:sz w:val="16"/>
      <w:szCs w:val="16"/>
    </w:rPr>
  </w:style>
  <w:style w:type="character" w:customStyle="1" w:styleId="153">
    <w:name w:val="Macro Text Char"/>
    <w:basedOn w:val="138"/>
    <w:link w:val="2"/>
    <w:qFormat/>
    <w:uiPriority w:val="99"/>
    <w:rPr>
      <w:rFonts w:ascii="Courier" w:hAnsi="Courier"/>
      <w:sz w:val="20"/>
      <w:szCs w:val="20"/>
    </w:rPr>
  </w:style>
  <w:style w:type="paragraph" w:styleId="154">
    <w:name w:val="Quote"/>
    <w:basedOn w:val="1"/>
    <w:next w:val="1"/>
    <w:link w:val="155"/>
    <w:qFormat/>
    <w:uiPriority w:val="29"/>
    <w:rPr>
      <w:i/>
      <w:iCs/>
      <w:color w:val="000000" w:themeColor="text1"/>
      <w14:textFill>
        <w14:solidFill>
          <w14:schemeClr w14:val="tx1"/>
        </w14:solidFill>
      </w14:textFill>
    </w:rPr>
  </w:style>
  <w:style w:type="character" w:customStyle="1" w:styleId="155">
    <w:name w:val="Quote Char"/>
    <w:basedOn w:val="138"/>
    <w:link w:val="154"/>
    <w:qFormat/>
    <w:uiPriority w:val="29"/>
    <w:rPr>
      <w:i/>
      <w:iCs/>
      <w:color w:val="000000" w:themeColor="text1"/>
      <w14:textFill>
        <w14:solidFill>
          <w14:schemeClr w14:val="tx1"/>
        </w14:solidFill>
      </w14:textFill>
    </w:rPr>
  </w:style>
  <w:style w:type="character" w:customStyle="1" w:styleId="156">
    <w:name w:val="Heading 4 Char"/>
    <w:basedOn w:val="138"/>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7">
    <w:name w:val="Heading 5 Char"/>
    <w:basedOn w:val="138"/>
    <w:link w:val="7"/>
    <w:semiHidden/>
    <w:qFormat/>
    <w:uiPriority w:val="9"/>
    <w:rPr>
      <w:rFonts w:asciiTheme="majorHAnsi" w:hAnsiTheme="majorHAnsi" w:eastAsiaTheme="majorEastAsia" w:cstheme="majorBidi"/>
      <w:color w:val="254061" w:themeColor="accent1" w:themeShade="80"/>
    </w:rPr>
  </w:style>
  <w:style w:type="character" w:customStyle="1" w:styleId="158">
    <w:name w:val="Heading 6 Char"/>
    <w:basedOn w:val="138"/>
    <w:link w:val="8"/>
    <w:semiHidden/>
    <w:qFormat/>
    <w:uiPriority w:val="9"/>
    <w:rPr>
      <w:rFonts w:asciiTheme="majorHAnsi" w:hAnsiTheme="majorHAnsi" w:eastAsiaTheme="majorEastAsia" w:cstheme="majorBidi"/>
      <w:i/>
      <w:iCs/>
      <w:color w:val="254061" w:themeColor="accent1" w:themeShade="80"/>
    </w:rPr>
  </w:style>
  <w:style w:type="character" w:customStyle="1" w:styleId="159">
    <w:name w:val="Heading 7 Char"/>
    <w:basedOn w:val="138"/>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0">
    <w:name w:val="Heading 8 Char"/>
    <w:basedOn w:val="138"/>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1">
    <w:name w:val="Heading 9 Char"/>
    <w:basedOn w:val="138"/>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2">
    <w:name w:val="Intense Quote"/>
    <w:basedOn w:val="1"/>
    <w:next w:val="1"/>
    <w:link w:val="163"/>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3">
    <w:name w:val="Intense Quote Char"/>
    <w:basedOn w:val="138"/>
    <w:link w:val="162"/>
    <w:qFormat/>
    <w:uiPriority w:val="30"/>
    <w:rPr>
      <w:b/>
      <w:bCs/>
      <w:i/>
      <w:iCs/>
      <w:color w:val="4F81BD" w:themeColor="accent1"/>
      <w14:textFill>
        <w14:solidFill>
          <w14:schemeClr w14:val="accent1"/>
        </w14:solidFill>
      </w14:textFill>
    </w:rPr>
  </w:style>
  <w:style w:type="character" w:customStyle="1" w:styleId="164">
    <w:name w:val="Subtle Emphasis"/>
    <w:basedOn w:val="138"/>
    <w:qFormat/>
    <w:uiPriority w:val="19"/>
    <w:rPr>
      <w:i/>
      <w:iCs/>
      <w:color w:val="808080" w:themeColor="text1" w:themeTint="80"/>
      <w14:textFill>
        <w14:solidFill>
          <w14:schemeClr w14:val="tx1">
            <w14:lumMod w14:val="50000"/>
            <w14:lumOff w14:val="50000"/>
          </w14:schemeClr>
        </w14:solidFill>
      </w14:textFill>
    </w:rPr>
  </w:style>
  <w:style w:type="character" w:customStyle="1" w:styleId="165">
    <w:name w:val="Intense Emphasis"/>
    <w:basedOn w:val="138"/>
    <w:qFormat/>
    <w:uiPriority w:val="21"/>
    <w:rPr>
      <w:b/>
      <w:bCs/>
      <w:i/>
      <w:iCs/>
      <w:color w:val="4F81BD" w:themeColor="accent1"/>
      <w14:textFill>
        <w14:solidFill>
          <w14:schemeClr w14:val="accent1"/>
        </w14:solidFill>
      </w14:textFill>
    </w:rPr>
  </w:style>
  <w:style w:type="character" w:customStyle="1" w:styleId="166">
    <w:name w:val="Subtle Reference"/>
    <w:basedOn w:val="138"/>
    <w:qFormat/>
    <w:uiPriority w:val="31"/>
    <w:rPr>
      <w:smallCaps/>
      <w:color w:val="C0504D" w:themeColor="accent2"/>
      <w:u w:val="single"/>
      <w14:textFill>
        <w14:solidFill>
          <w14:schemeClr w14:val="accent2"/>
        </w14:solidFill>
      </w14:textFill>
    </w:rPr>
  </w:style>
  <w:style w:type="character" w:customStyle="1" w:styleId="167">
    <w:name w:val="Intense Reference"/>
    <w:basedOn w:val="138"/>
    <w:qFormat/>
    <w:uiPriority w:val="32"/>
    <w:rPr>
      <w:b/>
      <w:bCs/>
      <w:smallCaps/>
      <w:color w:val="C0504D" w:themeColor="accent2"/>
      <w:spacing w:val="5"/>
      <w:u w:val="single"/>
      <w14:textFill>
        <w14:solidFill>
          <w14:schemeClr w14:val="accent2"/>
        </w14:solidFill>
      </w14:textFill>
    </w:rPr>
  </w:style>
  <w:style w:type="character" w:customStyle="1" w:styleId="168">
    <w:name w:val="Book Title"/>
    <w:basedOn w:val="138"/>
    <w:qFormat/>
    <w:uiPriority w:val="33"/>
    <w:rPr>
      <w:b/>
      <w:bCs/>
      <w:smallCaps/>
      <w:spacing w:val="5"/>
    </w:rPr>
  </w:style>
  <w:style w:type="paragraph" w:customStyle="1" w:styleId="169">
    <w:name w:val="TOC Heading"/>
    <w:basedOn w:val="3"/>
    <w:next w:val="1"/>
    <w:semiHidden/>
    <w:unhideWhenUsed/>
    <w:qFormat/>
    <w:uiPriority w:val="39"/>
    <w:pPr>
      <w:outlineLvl w:val="9"/>
    </w:pPr>
  </w:style>
  <w:style w:type="paragraph" w:customStyle="1" w:styleId="170">
    <w:name w:val="住建局正文"/>
    <w:qFormat/>
    <w:uiPriority w:val="0"/>
    <w:pPr>
      <w:widowControl w:val="0"/>
      <w:spacing w:line="560" w:lineRule="exact"/>
      <w:ind w:firstLine="200" w:firstLineChars="20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2014-01-02T23:15:00Z</dcterms:created>
  <dc:creator>python-docx</dc:creator>
  <dc:description>generated by python-docx</dc:description>
  <cp:lastModifiedBy>uos</cp:lastModifiedBy>
  <cp:lastPrinted>2026-07-23T18:40:00Z</cp:lastPrinted>
  <dcterms:modified xsi:type="dcterms:W3CDTF">2026-07-24T16:29:39Z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5A0C3F091F706203321C636A185C0D9E_43</vt:lpwstr>
  </property>
</Properties>
</file>