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hint="eastAsia" w:ascii="方正小标宋简体" w:hAnsi="国标小标宋" w:eastAsia="方正小标宋简体" w:cs="国标小标宋"/>
          <w:bCs/>
          <w:color w:val="auto"/>
          <w:sz w:val="44"/>
          <w:szCs w:val="44"/>
          <w:lang w:eastAsia="zh-CN"/>
        </w:rPr>
      </w:pPr>
    </w:p>
    <w:p>
      <w:pPr>
        <w:spacing w:after="0" w:line="240" w:lineRule="auto"/>
        <w:jc w:val="center"/>
        <w:rPr>
          <w:rFonts w:hint="eastAsia" w:ascii="方正小标宋简体" w:hAnsi="国标小标宋" w:eastAsia="方正小标宋简体" w:cs="国标小标宋"/>
          <w:bCs/>
          <w:color w:val="auto"/>
          <w:sz w:val="44"/>
          <w:szCs w:val="44"/>
          <w:lang w:eastAsia="zh-CN"/>
        </w:rPr>
      </w:pPr>
      <w:r>
        <w:rPr>
          <w:rFonts w:hint="eastAsia" w:ascii="方正小标宋简体" w:hAnsi="国标小标宋" w:eastAsia="方正小标宋简体" w:cs="国标小标宋"/>
          <w:bCs/>
          <w:color w:val="auto"/>
          <w:sz w:val="44"/>
          <w:szCs w:val="44"/>
          <w:lang w:eastAsia="zh-CN"/>
        </w:rPr>
        <w:t>东莞市交通运输局基础设施运维服务项目采购需求书</w:t>
      </w:r>
    </w:p>
    <w:p>
      <w:pPr>
        <w:spacing w:after="80" w:line="360" w:lineRule="auto"/>
        <w:rPr>
          <w:rFonts w:hint="eastAsia"/>
          <w:lang w:eastAsia="zh-CN"/>
        </w:rPr>
      </w:pPr>
    </w:p>
    <w:p>
      <w:pPr>
        <w:spacing w:after="0" w:line="540" w:lineRule="exact"/>
        <w:ind w:firstLine="640" w:firstLineChars="200"/>
        <w:rPr>
          <w:rFonts w:hint="eastAsia" w:ascii="黑体" w:hAnsi="黑体" w:eastAsia="黑体" w:cs="国标黑体"/>
          <w:sz w:val="32"/>
          <w:szCs w:val="32"/>
          <w:lang w:eastAsia="zh-CN"/>
        </w:rPr>
      </w:pPr>
      <w:r>
        <w:rPr>
          <w:rFonts w:hint="eastAsia" w:ascii="黑体" w:hAnsi="黑体" w:eastAsia="黑体" w:cs="国标黑体"/>
          <w:sz w:val="32"/>
          <w:szCs w:val="32"/>
          <w:lang w:eastAsia="zh-CN"/>
        </w:rPr>
        <w:t>一、项目基本情况</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局机房搭建了横向覆盖市属重点单位、纵向连接省厅和分局的交通骨干网络，承载交通业务的互联互通，同时机房有较多的服务器、网络设备及UPS、精密空调、安全设备、显控设备、网络柜等专用设备托管在内，其中大部分的设备使用年限较长且处于售后过保状态，老化情况较为明显。同时，我局部分安全设备特征库升级授权即将到期，需要购买新一周期的特征库升级授权服务。</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将聘请专业的维护单位对机房服务器、网络设备、精密空调、UPS等及其他专用设备进行维护，并购买安全设备特征库升级授权服务，保障我局机房稳定运转、网络传输稳定、数据存储安全，提供高效、稳定、可靠的技术保障，以保证我局的业务正常开展。</w:t>
      </w:r>
    </w:p>
    <w:tbl>
      <w:tblPr>
        <w:tblStyle w:val="4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6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927" w:type="dxa"/>
            <w:vAlign w:val="center"/>
          </w:tcPr>
          <w:p>
            <w:pPr>
              <w:spacing w:after="0" w:line="300" w:lineRule="auto"/>
              <w:jc w:val="center"/>
              <w:rPr>
                <w:rFonts w:hint="eastAsia" w:ascii="仿宋_GB2312" w:eastAsia="仿宋_GB2312"/>
                <w:sz w:val="28"/>
                <w:szCs w:val="28"/>
              </w:rPr>
            </w:pPr>
            <w:r>
              <w:rPr>
                <w:rFonts w:hint="eastAsia" w:ascii="仿宋_GB2312" w:hAnsi="Times New Roman" w:eastAsia="仿宋_GB2312"/>
                <w:b/>
                <w:sz w:val="28"/>
                <w:szCs w:val="28"/>
              </w:rPr>
              <w:t>事项</w:t>
            </w:r>
          </w:p>
        </w:tc>
        <w:tc>
          <w:tcPr>
            <w:tcW w:w="6917" w:type="dxa"/>
            <w:vAlign w:val="center"/>
          </w:tcPr>
          <w:p>
            <w:pPr>
              <w:spacing w:after="0" w:line="300" w:lineRule="auto"/>
              <w:jc w:val="center"/>
              <w:rPr>
                <w:rFonts w:hint="eastAsia" w:ascii="仿宋_GB2312" w:eastAsia="仿宋_GB2312"/>
                <w:sz w:val="28"/>
                <w:szCs w:val="28"/>
              </w:rPr>
            </w:pPr>
            <w:r>
              <w:rPr>
                <w:rFonts w:hint="eastAsia" w:ascii="仿宋_GB2312" w:hAnsi="Times New Roman" w:eastAsia="仿宋_GB2312"/>
                <w:b/>
                <w:sz w:val="28"/>
                <w:szCs w:val="28"/>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27" w:type="dxa"/>
            <w:vAlign w:val="center"/>
          </w:tcPr>
          <w:p>
            <w:pPr>
              <w:spacing w:after="0" w:line="300" w:lineRule="auto"/>
              <w:jc w:val="center"/>
              <w:rPr>
                <w:rFonts w:hint="eastAsia" w:ascii="仿宋_GB2312" w:eastAsia="仿宋_GB2312"/>
                <w:sz w:val="28"/>
                <w:szCs w:val="28"/>
              </w:rPr>
            </w:pPr>
            <w:r>
              <w:rPr>
                <w:rFonts w:hint="eastAsia" w:ascii="仿宋_GB2312" w:hAnsi="Times New Roman" w:eastAsia="仿宋_GB2312"/>
                <w:sz w:val="28"/>
                <w:szCs w:val="28"/>
              </w:rPr>
              <w:t>采购人</w:t>
            </w:r>
          </w:p>
        </w:tc>
        <w:tc>
          <w:tcPr>
            <w:tcW w:w="6917" w:type="dxa"/>
            <w:vAlign w:val="center"/>
          </w:tcPr>
          <w:p>
            <w:pPr>
              <w:spacing w:after="0" w:line="300" w:lineRule="auto"/>
              <w:jc w:val="center"/>
              <w:rPr>
                <w:rFonts w:hint="eastAsia" w:ascii="仿宋_GB2312" w:eastAsia="仿宋_GB2312"/>
                <w:sz w:val="28"/>
                <w:szCs w:val="28"/>
              </w:rPr>
            </w:pPr>
            <w:r>
              <w:rPr>
                <w:rFonts w:hint="eastAsia" w:ascii="仿宋_GB2312" w:hAnsi="Times New Roman" w:eastAsia="仿宋_GB2312"/>
                <w:sz w:val="28"/>
                <w:szCs w:val="28"/>
              </w:rPr>
              <w:t>东莞市交通运输局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27" w:type="dxa"/>
            <w:vAlign w:val="center"/>
          </w:tcPr>
          <w:p>
            <w:pPr>
              <w:spacing w:after="0" w:line="300" w:lineRule="auto"/>
              <w:jc w:val="center"/>
              <w:rPr>
                <w:rFonts w:hint="eastAsia" w:ascii="仿宋_GB2312" w:eastAsia="仿宋_GB2312"/>
                <w:sz w:val="28"/>
                <w:szCs w:val="28"/>
              </w:rPr>
            </w:pPr>
            <w:r>
              <w:rPr>
                <w:rFonts w:hint="eastAsia" w:ascii="仿宋_GB2312" w:hAnsi="Times New Roman" w:eastAsia="仿宋_GB2312"/>
                <w:sz w:val="28"/>
                <w:szCs w:val="28"/>
              </w:rPr>
              <w:t>项目名称</w:t>
            </w:r>
          </w:p>
        </w:tc>
        <w:tc>
          <w:tcPr>
            <w:tcW w:w="6917" w:type="dxa"/>
            <w:vAlign w:val="center"/>
          </w:tcPr>
          <w:p>
            <w:pPr>
              <w:spacing w:after="0" w:line="300" w:lineRule="auto"/>
              <w:jc w:val="center"/>
              <w:rPr>
                <w:rFonts w:ascii="仿宋_GB2312" w:hAnsi="Times New Roman" w:eastAsia="仿宋_GB2312"/>
                <w:sz w:val="28"/>
                <w:szCs w:val="28"/>
                <w:lang w:eastAsia="zh-CN"/>
              </w:rPr>
            </w:pPr>
            <w:r>
              <w:rPr>
                <w:rFonts w:hint="eastAsia" w:ascii="仿宋_GB2312" w:hAnsi="Times New Roman" w:eastAsia="仿宋_GB2312"/>
                <w:sz w:val="28"/>
                <w:szCs w:val="28"/>
                <w:lang w:eastAsia="zh-CN"/>
              </w:rPr>
              <w:t>东莞市交通运输局基础设施运维服务项目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27" w:type="dxa"/>
            <w:vAlign w:val="center"/>
          </w:tcPr>
          <w:p>
            <w:pPr>
              <w:spacing w:after="0" w:line="300" w:lineRule="auto"/>
              <w:jc w:val="center"/>
              <w:rPr>
                <w:rFonts w:hint="eastAsia" w:ascii="仿宋_GB2312" w:eastAsia="仿宋_GB2312"/>
                <w:sz w:val="28"/>
                <w:szCs w:val="28"/>
              </w:rPr>
            </w:pPr>
            <w:r>
              <w:rPr>
                <w:rFonts w:hint="eastAsia" w:ascii="仿宋_GB2312" w:hAnsi="Times New Roman" w:eastAsia="仿宋_GB2312"/>
                <w:sz w:val="28"/>
                <w:szCs w:val="28"/>
              </w:rPr>
              <w:t>服务周期</w:t>
            </w:r>
          </w:p>
        </w:tc>
        <w:tc>
          <w:tcPr>
            <w:tcW w:w="6917" w:type="dxa"/>
            <w:vAlign w:val="center"/>
          </w:tcPr>
          <w:p>
            <w:pPr>
              <w:spacing w:after="0" w:line="300" w:lineRule="auto"/>
              <w:jc w:val="center"/>
              <w:rPr>
                <w:rFonts w:ascii="仿宋_GB2312" w:hAnsi="Times New Roman" w:eastAsia="仿宋_GB2312"/>
                <w:sz w:val="28"/>
                <w:szCs w:val="28"/>
              </w:rPr>
            </w:pPr>
            <w:r>
              <w:rPr>
                <w:rFonts w:hint="eastAsia" w:ascii="仿宋_GB2312" w:hAnsi="Times New Roman" w:eastAsia="仿宋_GB2312"/>
                <w:sz w:val="28"/>
                <w:szCs w:val="28"/>
              </w:rPr>
              <w:t>2026年10月1日至2027年9月30日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27" w:type="dxa"/>
            <w:vAlign w:val="center"/>
          </w:tcPr>
          <w:p>
            <w:pPr>
              <w:spacing w:after="0" w:line="300" w:lineRule="auto"/>
              <w:jc w:val="center"/>
              <w:rPr>
                <w:rFonts w:hint="eastAsia" w:ascii="仿宋_GB2312" w:eastAsia="仿宋_GB2312"/>
                <w:sz w:val="28"/>
                <w:szCs w:val="28"/>
              </w:rPr>
            </w:pPr>
            <w:r>
              <w:rPr>
                <w:rFonts w:hint="eastAsia" w:ascii="仿宋_GB2312" w:hAnsi="Times New Roman" w:eastAsia="仿宋_GB2312"/>
                <w:sz w:val="28"/>
                <w:szCs w:val="28"/>
              </w:rPr>
              <w:t>最高限价</w:t>
            </w:r>
          </w:p>
        </w:tc>
        <w:tc>
          <w:tcPr>
            <w:tcW w:w="6917" w:type="dxa"/>
            <w:vAlign w:val="center"/>
          </w:tcPr>
          <w:p>
            <w:pPr>
              <w:spacing w:after="0" w:line="300" w:lineRule="auto"/>
              <w:jc w:val="center"/>
              <w:rPr>
                <w:rFonts w:ascii="仿宋_GB2312" w:hAnsi="Times New Roman" w:eastAsia="仿宋_GB2312"/>
                <w:sz w:val="28"/>
                <w:szCs w:val="28"/>
                <w:lang w:eastAsia="zh-CN"/>
              </w:rPr>
            </w:pPr>
            <w:r>
              <w:rPr>
                <w:rFonts w:hint="eastAsia" w:ascii="仿宋_GB2312" w:hAnsi="Times New Roman" w:eastAsia="仿宋_GB2312"/>
                <w:sz w:val="28"/>
                <w:szCs w:val="28"/>
                <w:lang w:eastAsia="zh-CN"/>
              </w:rPr>
              <w:t>人民币261900.00元（贰拾陆万壹仟玖佰元整）</w:t>
            </w:r>
          </w:p>
        </w:tc>
      </w:tr>
    </w:tbl>
    <w:p>
      <w:pPr>
        <w:pStyle w:val="4"/>
        <w:spacing w:before="160" w:after="120" w:line="240" w:lineRule="auto"/>
        <w:ind w:firstLine="640" w:firstLineChars="200"/>
        <w:rPr>
          <w:rFonts w:hint="eastAsia" w:ascii="黑体" w:hAnsi="黑体" w:eastAsia="黑体" w:cs="国标黑体"/>
          <w:b w:val="0"/>
          <w:bCs w:val="0"/>
          <w:color w:val="auto"/>
          <w:sz w:val="32"/>
          <w:szCs w:val="32"/>
          <w:lang w:eastAsia="zh-CN"/>
        </w:rPr>
      </w:pPr>
      <w:r>
        <w:rPr>
          <w:rFonts w:hint="eastAsia" w:ascii="黑体" w:hAnsi="黑体" w:eastAsia="黑体" w:cs="国标黑体"/>
          <w:b w:val="0"/>
          <w:bCs w:val="0"/>
          <w:color w:val="auto"/>
          <w:sz w:val="32"/>
          <w:szCs w:val="32"/>
          <w:lang w:eastAsia="zh-CN"/>
        </w:rPr>
        <w:t>二、采购需求与技术要求</w:t>
      </w:r>
    </w:p>
    <w:p>
      <w:pPr>
        <w:keepNext/>
        <w:keepLines/>
        <w:widowControl w:val="0"/>
        <w:tabs>
          <w:tab w:val="left" w:pos="210"/>
          <w:tab w:val="left" w:pos="567"/>
        </w:tabs>
        <w:spacing w:after="0" w:line="540" w:lineRule="exact"/>
        <w:ind w:firstLine="640" w:firstLineChars="200"/>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局各项业务的开展对机房设备及网络的稳定性要求越来越高，专业的机房及专用设备运行维护服务，将能够更好地保障我局设备和网络的正常运转，为日常工作提供可靠的平台载体和技术保障，有助于保障和提高本单位的工作质量、工作效率。运维服务包括对机房服务器、网络设备和其他专用设备的包件维修维护，机房和专用设备定期巡检和故障检测修复、网络连接恢复、网络优化调整、服务器系统安装重装、服务器病毒防杀、服务器软件升级和使用指导、数据备份等，保障机房及专用设备正常运转。同时，购买新一周期的安全设备的特征库升级授权服务。</w:t>
      </w:r>
    </w:p>
    <w:p>
      <w:pPr>
        <w:pStyle w:val="2"/>
        <w:widowControl w:val="0"/>
        <w:spacing w:after="0" w:line="540" w:lineRule="exact"/>
        <w:ind w:left="0" w:leftChars="0" w:firstLine="640" w:firstLineChars="200"/>
        <w:rPr>
          <w:rFonts w:hint="eastAsia" w:ascii="楷体_GB2312" w:hAnsi="楷体_GB2312" w:eastAsia="楷体_GB2312" w:cs="楷体_GB2312"/>
          <w:kern w:val="2"/>
          <w:sz w:val="32"/>
          <w:szCs w:val="32"/>
          <w:lang w:eastAsia="zh-CN"/>
        </w:rPr>
      </w:pPr>
      <w:r>
        <w:rPr>
          <w:rFonts w:hint="eastAsia" w:ascii="楷体_GB2312" w:hAnsi="楷体_GB2312" w:eastAsia="楷体_GB2312" w:cs="楷体_GB2312"/>
          <w:kern w:val="2"/>
          <w:sz w:val="32"/>
          <w:szCs w:val="32"/>
          <w:lang w:eastAsia="zh-CN"/>
        </w:rPr>
        <w:t>（一）交换机、路由器、防火墙、日志审计等网络设备运维</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1.现场故障处理及技术支持。</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2.网络边界设备巡检和调优，每月不少于1次。</w:t>
      </w:r>
    </w:p>
    <w:p>
      <w:pPr>
        <w:pStyle w:val="2"/>
        <w:widowControl w:val="0"/>
        <w:spacing w:after="0" w:line="540" w:lineRule="exact"/>
        <w:ind w:left="0" w:leftChars="0" w:firstLine="640" w:firstLineChars="200"/>
        <w:rPr>
          <w:rFonts w:hint="eastAsia" w:ascii="楷体_GB2312" w:hAnsi="楷体_GB2312" w:eastAsia="楷体_GB2312" w:cs="楷体_GB2312"/>
          <w:kern w:val="2"/>
          <w:sz w:val="32"/>
          <w:szCs w:val="32"/>
          <w:lang w:eastAsia="zh-CN"/>
        </w:rPr>
      </w:pPr>
      <w:r>
        <w:rPr>
          <w:rFonts w:hint="eastAsia" w:ascii="楷体_GB2312" w:hAnsi="楷体_GB2312" w:eastAsia="楷体_GB2312" w:cs="楷体_GB2312"/>
          <w:kern w:val="2"/>
          <w:sz w:val="32"/>
          <w:szCs w:val="32"/>
          <w:lang w:eastAsia="zh-CN"/>
        </w:rPr>
        <w:t>（二）服务器、存储、动环系统、视频监控、拼接屏等设备运维</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1.设备预防性检查维护，每月不少于1次。</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2.现场故障处理及技术支持。</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3.设备清洁保养、补丁安装、数据备份。</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4.设备及机房日常巡检记录维护：</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（1）工作内容：机房环境记录、运行状态监控及预警、设备错误分析及统计、机房门禁状态、消防状况等。</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（2）巡检周期：每周不少于3次。</w:t>
      </w:r>
    </w:p>
    <w:p>
      <w:pPr>
        <w:pStyle w:val="2"/>
        <w:widowControl w:val="0"/>
        <w:spacing w:after="0" w:line="540" w:lineRule="exact"/>
        <w:ind w:left="0" w:leftChars="0" w:firstLine="640" w:firstLineChars="200"/>
        <w:rPr>
          <w:rFonts w:hint="eastAsia" w:ascii="楷体_GB2312" w:hAnsi="楷体_GB2312" w:eastAsia="楷体_GB2312" w:cs="楷体_GB2312"/>
          <w:kern w:val="2"/>
          <w:sz w:val="32"/>
          <w:szCs w:val="32"/>
          <w:lang w:eastAsia="zh-CN"/>
        </w:rPr>
      </w:pPr>
      <w:r>
        <w:rPr>
          <w:rFonts w:hint="eastAsia" w:ascii="楷体_GB2312" w:hAnsi="楷体_GB2312" w:eastAsia="楷体_GB2312" w:cs="楷体_GB2312"/>
          <w:kern w:val="2"/>
          <w:sz w:val="32"/>
          <w:szCs w:val="32"/>
          <w:lang w:eastAsia="zh-CN"/>
        </w:rPr>
        <w:t>（三）UPS、精密空调、消防系统及机房其他设备运维</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1.设备预防性检查维护，每2个月不少于1次。</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2.现场故障处理及技术支持。</w:t>
      </w:r>
    </w:p>
    <w:p>
      <w:pPr>
        <w:pStyle w:val="2"/>
        <w:widowControl w:val="0"/>
        <w:spacing w:after="0" w:line="540" w:lineRule="exact"/>
        <w:ind w:left="0" w:leftChars="0" w:firstLine="640" w:firstLineChars="200"/>
        <w:rPr>
          <w:rFonts w:hint="eastAsia" w:ascii="楷体_GB2312" w:hAnsi="楷体_GB2312" w:eastAsia="楷体_GB2312" w:cs="楷体_GB2312"/>
          <w:kern w:val="2"/>
          <w:sz w:val="32"/>
          <w:szCs w:val="32"/>
          <w:lang w:eastAsia="zh-CN"/>
        </w:rPr>
      </w:pPr>
      <w:r>
        <w:rPr>
          <w:rFonts w:hint="eastAsia" w:ascii="楷体_GB2312" w:hAnsi="楷体_GB2312" w:eastAsia="楷体_GB2312" w:cs="楷体_GB2312"/>
          <w:kern w:val="2"/>
          <w:sz w:val="32"/>
          <w:szCs w:val="32"/>
          <w:lang w:eastAsia="zh-CN"/>
        </w:rPr>
        <w:t>（四）7*24小时不限次数紧急服务支撑</w:t>
      </w:r>
    </w:p>
    <w:p>
      <w:pPr>
        <w:pStyle w:val="2"/>
        <w:widowControl w:val="0"/>
        <w:spacing w:after="0" w:line="540" w:lineRule="exact"/>
        <w:ind w:left="0" w:leftChars="0"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7*24在线和电话支持。每周7天、每天24小时为所支持的设备发生的故障提供不限次的在线和电话支持服务。服务期内一旦机房、设备和网络出现突发故障，提供7*24小时紧急服务，60分钟内到达现场开展系统修复、设备维修、临时备机等服务支撑，恢复业务开展的最基本保障。</w:t>
      </w:r>
    </w:p>
    <w:p>
      <w:pPr>
        <w:pStyle w:val="2"/>
        <w:widowControl w:val="0"/>
        <w:spacing w:after="0" w:line="540" w:lineRule="exact"/>
        <w:ind w:left="0" w:leftChars="0" w:firstLine="640" w:firstLineChars="200"/>
        <w:rPr>
          <w:rFonts w:hint="eastAsia" w:ascii="楷体_GB2312" w:hAnsi="楷体_GB2312" w:eastAsia="楷体_GB2312" w:cs="楷体_GB2312"/>
          <w:kern w:val="2"/>
          <w:sz w:val="32"/>
          <w:szCs w:val="32"/>
          <w:lang w:eastAsia="zh-CN"/>
        </w:rPr>
      </w:pPr>
      <w:r>
        <w:rPr>
          <w:rFonts w:hint="eastAsia" w:ascii="楷体_GB2312" w:hAnsi="楷体_GB2312" w:eastAsia="楷体_GB2312" w:cs="楷体_GB2312"/>
          <w:kern w:val="2"/>
          <w:sz w:val="32"/>
          <w:szCs w:val="32"/>
          <w:lang w:eastAsia="zh-CN"/>
        </w:rPr>
        <w:t>（五）基础设施设备运维情况分析和报告编制</w:t>
      </w:r>
    </w:p>
    <w:p>
      <w:pPr>
        <w:spacing w:after="0" w:line="540" w:lineRule="exact"/>
        <w:ind w:firstLine="640" w:firstLineChars="200"/>
        <w:rPr>
          <w:rFonts w:hint="eastAsia" w:ascii="仿宋_GB2312" w:hAnsi="仿宋_GB2312" w:eastAsia="仿宋_GB2312" w:cs="仿宋_GB2312"/>
          <w:kern w:val="2"/>
          <w:sz w:val="30"/>
          <w:szCs w:val="30"/>
          <w:lang w:eastAsia="zh-CN"/>
        </w:rPr>
      </w:pPr>
      <w:r>
        <w:rPr>
          <w:rFonts w:hint="eastAsia" w:ascii="仿宋_GB2312" w:hAnsi="仿宋_GB2312" w:eastAsia="仿宋_GB2312" w:cs="仿宋_GB2312"/>
          <w:kern w:val="2"/>
          <w:sz w:val="32"/>
          <w:szCs w:val="32"/>
          <w:lang w:eastAsia="zh-CN"/>
        </w:rPr>
        <w:t>每月提交维护记录、故障处理报告，以及年度总报告。</w:t>
      </w:r>
    </w:p>
    <w:tbl>
      <w:tblPr>
        <w:tblStyle w:val="39"/>
        <w:tblW w:w="8120" w:type="dxa"/>
        <w:jc w:val="center"/>
        <w:tblLayout w:type="fixed"/>
        <w:tblCellMar>
          <w:top w:w="0" w:type="dxa"/>
          <w:left w:w="108" w:type="dxa"/>
          <w:bottom w:w="0" w:type="dxa"/>
          <w:right w:w="108" w:type="dxa"/>
        </w:tblCellMar>
      </w:tblPr>
      <w:tblGrid>
        <w:gridCol w:w="965"/>
        <w:gridCol w:w="1970"/>
        <w:gridCol w:w="3695"/>
        <w:gridCol w:w="1490"/>
      </w:tblGrid>
      <w:tr>
        <w:tblPrEx>
          <w:tblCellMar>
            <w:top w:w="0" w:type="dxa"/>
            <w:left w:w="108" w:type="dxa"/>
            <w:bottom w:w="0" w:type="dxa"/>
            <w:right w:w="108" w:type="dxa"/>
          </w:tblCellMar>
        </w:tblPrEx>
        <w:trPr>
          <w:trHeight w:val="506" w:hRule="atLeast"/>
          <w:jc w:val="center"/>
        </w:trPr>
        <w:tc>
          <w:tcPr>
            <w:tcW w:w="8120" w:type="dxa"/>
            <w:gridSpan w:val="4"/>
            <w:tcBorders>
              <w:top w:val="single" w:color="000000" w:sz="4" w:space="0"/>
              <w:left w:val="single" w:color="000000" w:sz="4" w:space="0"/>
              <w:bottom w:val="single" w:color="000000" w:sz="4" w:space="0"/>
              <w:right w:val="single" w:color="000000" w:sz="4" w:space="0"/>
            </w:tcBorders>
            <w:shd w:val="clear" w:color="auto" w:fill="DAEEF3"/>
            <w:vAlign w:val="center"/>
          </w:tcPr>
          <w:p>
            <w:pPr>
              <w:jc w:val="center"/>
              <w:textAlignment w:val="center"/>
              <w:rPr>
                <w:rFonts w:hint="eastAsia" w:ascii="仿宋_GB2312" w:hAnsi="仿宋" w:eastAsia="仿宋_GB2312" w:cs="仿宋"/>
                <w:b/>
                <w:bCs/>
                <w:color w:val="auto"/>
                <w:szCs w:val="21"/>
                <w:lang w:eastAsia="zh-CN" w:bidi="ar"/>
              </w:rPr>
            </w:pPr>
            <w:r>
              <w:rPr>
                <w:rFonts w:hint="eastAsia" w:ascii="仿宋_GB2312" w:hAnsi="仿宋" w:eastAsia="仿宋_GB2312" w:cs="仿宋"/>
                <w:b/>
                <w:bCs/>
                <w:color w:val="auto"/>
                <w:szCs w:val="21"/>
                <w:lang w:eastAsia="zh-CN" w:bidi="ar"/>
              </w:rPr>
              <w:t>机房及专用设备维护清单</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b/>
                <w:bCs/>
                <w:color w:val="auto"/>
                <w:szCs w:val="21"/>
              </w:rPr>
            </w:pPr>
            <w:r>
              <w:rPr>
                <w:rFonts w:hint="eastAsia" w:ascii="仿宋_GB2312" w:hAnsi="仿宋" w:eastAsia="仿宋_GB2312" w:cs="仿宋"/>
                <w:b/>
                <w:bCs/>
                <w:color w:val="auto"/>
                <w:szCs w:val="21"/>
                <w:lang w:bidi="ar"/>
              </w:rPr>
              <w:t>序号</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b/>
                <w:bCs/>
                <w:color w:val="auto"/>
                <w:szCs w:val="21"/>
              </w:rPr>
            </w:pPr>
            <w:r>
              <w:rPr>
                <w:rFonts w:hint="eastAsia" w:ascii="仿宋_GB2312" w:hAnsi="仿宋" w:eastAsia="仿宋_GB2312" w:cs="仿宋"/>
                <w:b/>
                <w:bCs/>
                <w:color w:val="auto"/>
                <w:szCs w:val="21"/>
                <w:lang w:bidi="ar"/>
              </w:rPr>
              <w:t>设备名称</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b/>
                <w:bCs/>
                <w:color w:val="auto"/>
                <w:szCs w:val="21"/>
              </w:rPr>
            </w:pPr>
            <w:r>
              <w:rPr>
                <w:rFonts w:hint="eastAsia" w:ascii="仿宋_GB2312" w:hAnsi="仿宋" w:eastAsia="仿宋_GB2312" w:cs="仿宋"/>
                <w:b/>
                <w:bCs/>
                <w:color w:val="auto"/>
                <w:szCs w:val="21"/>
                <w:lang w:bidi="ar"/>
              </w:rPr>
              <w:t>内容及数量</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b/>
                <w:bCs/>
                <w:color w:val="auto"/>
                <w:szCs w:val="21"/>
                <w:lang w:eastAsia="zh-CN" w:bidi="ar"/>
              </w:rPr>
            </w:pPr>
            <w:r>
              <w:rPr>
                <w:rFonts w:hint="eastAsia" w:ascii="仿宋_GB2312" w:hAnsi="仿宋" w:eastAsia="仿宋_GB2312" w:cs="仿宋"/>
                <w:b/>
                <w:bCs/>
                <w:color w:val="auto"/>
                <w:szCs w:val="21"/>
                <w:lang w:eastAsia="zh-CN" w:bidi="ar"/>
              </w:rPr>
              <w:t>存放地点</w:t>
            </w:r>
          </w:p>
        </w:tc>
      </w:tr>
      <w:tr>
        <w:tblPrEx>
          <w:tblCellMar>
            <w:top w:w="0" w:type="dxa"/>
            <w:left w:w="108" w:type="dxa"/>
            <w:bottom w:w="0" w:type="dxa"/>
            <w:right w:w="108" w:type="dxa"/>
          </w:tblCellMar>
        </w:tblPrEx>
        <w:trPr>
          <w:trHeight w:val="574"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bidi="ar"/>
              </w:rPr>
              <w:t>1</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服务器</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22台，包括IBM、曙光等服务器</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bidi="ar"/>
              </w:rPr>
              <w:t>2</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存储</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3台，包括同友等存储</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bidi="ar"/>
              </w:rPr>
              <w:t>3</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交换机</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20台，包括华为等交换机</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bidi="ar"/>
              </w:rPr>
              <w:t>4</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路由器</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8台，包括华为等路由器</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bidi="ar"/>
              </w:rPr>
              <w:t>5</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安全设备</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11台，包括华为等设备</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bidi="ar"/>
              </w:rPr>
              <w:t>6</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精密空调</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2台，包括维谛等精密空调</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bidi="ar"/>
              </w:rPr>
              <w:t>7</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UPS</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2台，包括易事特等设备</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bidi="ar"/>
              </w:rPr>
              <w:t>8</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消防系统</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1套，国产品牌</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bidi="ar"/>
              </w:rPr>
              <w:t>9</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动环设备</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1套，国产品牌</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bidi="ar"/>
              </w:rPr>
              <w:t>10</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拼接显示屏</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1套，威创品牌</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bidi="ar"/>
              </w:rPr>
            </w:pPr>
            <w:r>
              <w:rPr>
                <w:rFonts w:hint="eastAsia" w:ascii="仿宋_GB2312" w:hAnsi="仿宋" w:eastAsia="仿宋_GB2312" w:cs="仿宋"/>
                <w:color w:val="auto"/>
                <w:sz w:val="24"/>
                <w:szCs w:val="24"/>
                <w:lang w:eastAsia="zh-CN" w:bidi="ar"/>
              </w:rPr>
              <w:t>11</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视频监控主机</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6台，海康威视品牌</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bidi="ar"/>
              </w:rPr>
            </w:pPr>
            <w:r>
              <w:rPr>
                <w:rFonts w:hint="eastAsia" w:ascii="仿宋_GB2312" w:hAnsi="仿宋" w:eastAsia="仿宋_GB2312" w:cs="仿宋"/>
                <w:color w:val="auto"/>
                <w:sz w:val="24"/>
                <w:szCs w:val="24"/>
                <w:lang w:eastAsia="zh-CN" w:bidi="ar"/>
              </w:rPr>
              <w:t>12</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其他设备</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1台，机房抽湿机</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rPr>
            </w:pPr>
            <w:r>
              <w:rPr>
                <w:rFonts w:hint="eastAsia" w:ascii="仿宋_GB2312" w:hAnsi="仿宋" w:eastAsia="仿宋_GB2312" w:cs="仿宋"/>
                <w:color w:val="auto"/>
                <w:sz w:val="24"/>
                <w:szCs w:val="24"/>
                <w:lang w:eastAsia="zh-CN"/>
              </w:rPr>
              <w:t>市局</w:t>
            </w:r>
          </w:p>
        </w:tc>
      </w:tr>
      <w:tr>
        <w:tblPrEx>
          <w:tblCellMar>
            <w:top w:w="0" w:type="dxa"/>
            <w:left w:w="108" w:type="dxa"/>
            <w:bottom w:w="0" w:type="dxa"/>
            <w:right w:w="108" w:type="dxa"/>
          </w:tblCellMar>
        </w:tblPrEx>
        <w:trPr>
          <w:trHeight w:val="500" w:hRule="atLeast"/>
          <w:jc w:val="center"/>
        </w:trPr>
        <w:tc>
          <w:tcPr>
            <w:tcW w:w="9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bidi="ar"/>
              </w:rPr>
            </w:pPr>
            <w:r>
              <w:rPr>
                <w:rFonts w:hint="eastAsia" w:ascii="仿宋_GB2312" w:hAnsi="仿宋" w:eastAsia="仿宋_GB2312" w:cs="仿宋"/>
                <w:color w:val="auto"/>
                <w:sz w:val="24"/>
                <w:szCs w:val="24"/>
                <w:lang w:eastAsia="zh-CN" w:bidi="ar"/>
              </w:rPr>
              <w:t>13</w:t>
            </w:r>
          </w:p>
        </w:tc>
        <w:tc>
          <w:tcPr>
            <w:tcW w:w="197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路由器、交换机</w:t>
            </w:r>
          </w:p>
        </w:tc>
        <w:tc>
          <w:tcPr>
            <w:tcW w:w="3695"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各分局交换机</w:t>
            </w:r>
          </w:p>
        </w:tc>
        <w:tc>
          <w:tcPr>
            <w:tcW w:w="1490" w:type="dxa"/>
            <w:tcBorders>
              <w:top w:val="single" w:color="000000" w:sz="4" w:space="0"/>
              <w:left w:val="nil"/>
              <w:bottom w:val="single" w:color="000000" w:sz="4" w:space="0"/>
              <w:right w:val="single" w:color="000000" w:sz="4" w:space="0"/>
            </w:tcBorders>
            <w:vAlign w:val="center"/>
          </w:tcPr>
          <w:p>
            <w:pPr>
              <w:jc w:val="center"/>
              <w:textAlignment w:val="center"/>
              <w:rPr>
                <w:rFonts w:hint="eastAsia" w:ascii="仿宋_GB2312" w:hAnsi="仿宋" w:eastAsia="仿宋_GB2312" w:cs="仿宋"/>
                <w:color w:val="auto"/>
                <w:sz w:val="24"/>
                <w:szCs w:val="24"/>
                <w:lang w:eastAsia="zh-CN"/>
              </w:rPr>
            </w:pPr>
            <w:r>
              <w:rPr>
                <w:rFonts w:hint="eastAsia" w:ascii="仿宋_GB2312" w:hAnsi="仿宋" w:eastAsia="仿宋_GB2312" w:cs="仿宋"/>
                <w:color w:val="auto"/>
                <w:sz w:val="24"/>
                <w:szCs w:val="24"/>
                <w:lang w:eastAsia="zh-CN"/>
              </w:rPr>
              <w:t>各分局</w:t>
            </w:r>
          </w:p>
        </w:tc>
      </w:tr>
    </w:tbl>
    <w:p>
      <w:pPr>
        <w:pStyle w:val="2"/>
        <w:ind w:left="0" w:leftChars="0"/>
        <w:rPr>
          <w:rFonts w:hint="eastAsia" w:ascii="仿宋_GB2312" w:hAnsi="仿宋_GB2312" w:eastAsia="仿宋_GB2312" w:cs="仿宋_GB2312"/>
          <w:kern w:val="2"/>
          <w:sz w:val="30"/>
          <w:szCs w:val="30"/>
          <w:lang w:eastAsia="zh-CN"/>
        </w:rPr>
      </w:pPr>
      <w:r>
        <w:rPr>
          <w:rFonts w:hint="eastAsia" w:ascii="仿宋_GB2312" w:hAnsi="仿宋_GB2312" w:eastAsia="仿宋_GB2312" w:cs="仿宋_GB2312"/>
          <w:kern w:val="2"/>
          <w:sz w:val="30"/>
          <w:szCs w:val="30"/>
          <w:lang w:eastAsia="zh-CN"/>
        </w:rPr>
        <w:t xml:space="preserve">   </w:t>
      </w:r>
      <w:r>
        <w:rPr>
          <w:rFonts w:hint="eastAsia" w:ascii="楷体_GB2312" w:hAnsi="楷体_GB2312" w:eastAsia="楷体_GB2312" w:cs="楷体_GB2312"/>
          <w:kern w:val="2"/>
          <w:sz w:val="30"/>
          <w:szCs w:val="30"/>
          <w:lang w:eastAsia="zh-CN"/>
        </w:rPr>
        <w:t xml:space="preserve"> （六）网络安全设备特征库授权升级（一年期）</w:t>
      </w:r>
    </w:p>
    <w:tbl>
      <w:tblPr>
        <w:tblStyle w:val="39"/>
        <w:tblW w:w="4840" w:type="pct"/>
        <w:tblInd w:w="93" w:type="dxa"/>
        <w:tblLayout w:type="fixed"/>
        <w:tblCellMar>
          <w:top w:w="0" w:type="dxa"/>
          <w:left w:w="108" w:type="dxa"/>
          <w:bottom w:w="0" w:type="dxa"/>
          <w:right w:w="108" w:type="dxa"/>
        </w:tblCellMar>
      </w:tblPr>
      <w:tblGrid>
        <w:gridCol w:w="2485"/>
        <w:gridCol w:w="4761"/>
        <w:gridCol w:w="991"/>
        <w:gridCol w:w="709"/>
      </w:tblGrid>
      <w:tr>
        <w:tblPrEx>
          <w:tblCellMar>
            <w:top w:w="0" w:type="dxa"/>
            <w:left w:w="108" w:type="dxa"/>
            <w:bottom w:w="0" w:type="dxa"/>
            <w:right w:w="108" w:type="dxa"/>
          </w:tblCellMar>
        </w:tblPrEx>
        <w:trPr>
          <w:trHeight w:val="270" w:hRule="atLeast"/>
        </w:trPr>
        <w:tc>
          <w:tcPr>
            <w:tcW w:w="1389" w:type="pct"/>
            <w:tcBorders>
              <w:top w:val="single" w:color="000000" w:sz="4" w:space="0"/>
              <w:left w:val="single" w:color="000000" w:sz="4" w:space="0"/>
              <w:bottom w:val="single" w:color="000000" w:sz="4" w:space="0"/>
              <w:right w:val="single" w:color="000000" w:sz="4" w:space="0"/>
            </w:tcBorders>
            <w:shd w:val="clear" w:color="C0C0C0" w:fill="8DB4E2"/>
            <w:vAlign w:val="center"/>
          </w:tcPr>
          <w:p>
            <w:pPr>
              <w:jc w:val="center"/>
              <w:textAlignment w:val="center"/>
              <w:rPr>
                <w:rFonts w:hint="eastAsia" w:ascii="仿宋_GB2312" w:hAnsi="宋体" w:eastAsia="仿宋_GB2312" w:cs="宋体"/>
                <w:b/>
                <w:color w:val="000000"/>
                <w:szCs w:val="21"/>
              </w:rPr>
            </w:pPr>
            <w:r>
              <w:rPr>
                <w:rFonts w:hint="eastAsia" w:ascii="仿宋_GB2312" w:hAnsi="宋体" w:eastAsia="仿宋_GB2312" w:cs="宋体"/>
                <w:b/>
                <w:szCs w:val="21"/>
                <w:lang w:eastAsia="zh-CN" w:bidi="ar"/>
              </w:rPr>
              <w:t xml:space="preserve">型号 </w:t>
            </w:r>
          </w:p>
        </w:tc>
        <w:tc>
          <w:tcPr>
            <w:tcW w:w="2660" w:type="pct"/>
            <w:tcBorders>
              <w:top w:val="single" w:color="000000" w:sz="4" w:space="0"/>
              <w:left w:val="single" w:color="000000" w:sz="4" w:space="0"/>
              <w:bottom w:val="single" w:color="000000" w:sz="4" w:space="0"/>
              <w:right w:val="single" w:color="000000" w:sz="4" w:space="0"/>
            </w:tcBorders>
            <w:shd w:val="clear" w:color="C0C0C0" w:fill="8DB4E2"/>
            <w:vAlign w:val="center"/>
          </w:tcPr>
          <w:p>
            <w:pPr>
              <w:jc w:val="center"/>
              <w:textAlignment w:val="center"/>
              <w:rPr>
                <w:rFonts w:hint="eastAsia" w:ascii="仿宋_GB2312" w:hAnsi="宋体" w:eastAsia="仿宋_GB2312" w:cs="宋体"/>
                <w:b/>
                <w:color w:val="000000"/>
                <w:szCs w:val="21"/>
              </w:rPr>
            </w:pPr>
            <w:r>
              <w:rPr>
                <w:rFonts w:hint="eastAsia" w:ascii="仿宋_GB2312" w:hAnsi="宋体" w:eastAsia="仿宋_GB2312" w:cs="宋体"/>
                <w:b/>
                <w:szCs w:val="21"/>
                <w:lang w:eastAsia="zh-CN" w:bidi="ar"/>
              </w:rPr>
              <w:t xml:space="preserve">配置描述 </w:t>
            </w:r>
          </w:p>
        </w:tc>
        <w:tc>
          <w:tcPr>
            <w:tcW w:w="554" w:type="pct"/>
            <w:tcBorders>
              <w:top w:val="single" w:color="000000" w:sz="4" w:space="0"/>
              <w:left w:val="single" w:color="000000" w:sz="4" w:space="0"/>
              <w:bottom w:val="single" w:color="000000" w:sz="4" w:space="0"/>
              <w:right w:val="single" w:color="000000" w:sz="4" w:space="0"/>
            </w:tcBorders>
            <w:shd w:val="clear" w:color="C0C0C0" w:fill="8DB4E2"/>
            <w:vAlign w:val="center"/>
          </w:tcPr>
          <w:p>
            <w:pPr>
              <w:jc w:val="center"/>
              <w:textAlignment w:val="center"/>
              <w:rPr>
                <w:rFonts w:hint="eastAsia" w:ascii="仿宋_GB2312" w:hAnsi="宋体" w:eastAsia="仿宋_GB2312" w:cs="宋体"/>
                <w:b/>
                <w:color w:val="000000"/>
                <w:szCs w:val="21"/>
              </w:rPr>
            </w:pPr>
            <w:r>
              <w:rPr>
                <w:rFonts w:hint="eastAsia" w:ascii="仿宋_GB2312" w:hAnsi="宋体" w:eastAsia="仿宋_GB2312" w:cs="宋体"/>
                <w:b/>
                <w:szCs w:val="21"/>
                <w:lang w:eastAsia="zh-CN" w:bidi="ar"/>
              </w:rPr>
              <w:t xml:space="preserve">单位 </w:t>
            </w:r>
          </w:p>
        </w:tc>
        <w:tc>
          <w:tcPr>
            <w:tcW w:w="396" w:type="pct"/>
            <w:tcBorders>
              <w:top w:val="single" w:color="000000" w:sz="4" w:space="0"/>
              <w:left w:val="single" w:color="000000" w:sz="4" w:space="0"/>
              <w:bottom w:val="single" w:color="000000" w:sz="4" w:space="0"/>
              <w:right w:val="single" w:color="000000" w:sz="4" w:space="0"/>
            </w:tcBorders>
            <w:shd w:val="clear" w:color="C0C0C0" w:fill="8DB4E2"/>
            <w:vAlign w:val="center"/>
          </w:tcPr>
          <w:p>
            <w:pPr>
              <w:jc w:val="center"/>
              <w:textAlignment w:val="center"/>
              <w:rPr>
                <w:rFonts w:hint="eastAsia" w:ascii="仿宋_GB2312" w:hAnsi="宋体" w:eastAsia="仿宋_GB2312" w:cs="宋体"/>
                <w:b/>
                <w:color w:val="000000"/>
                <w:szCs w:val="21"/>
              </w:rPr>
            </w:pPr>
            <w:r>
              <w:rPr>
                <w:rFonts w:hint="eastAsia" w:ascii="仿宋_GB2312" w:hAnsi="宋体" w:eastAsia="仿宋_GB2312" w:cs="宋体"/>
                <w:b/>
                <w:szCs w:val="21"/>
                <w:lang w:eastAsia="zh-CN" w:bidi="ar"/>
              </w:rPr>
              <w:t xml:space="preserve">数量 </w:t>
            </w:r>
          </w:p>
        </w:tc>
      </w:tr>
      <w:tr>
        <w:tblPrEx>
          <w:tblCellMar>
            <w:top w:w="0" w:type="dxa"/>
            <w:left w:w="108" w:type="dxa"/>
            <w:bottom w:w="0" w:type="dxa"/>
            <w:right w:w="108" w:type="dxa"/>
          </w:tblCellMar>
        </w:tblPrEx>
        <w:trPr>
          <w:trHeight w:val="495" w:hRule="atLeast"/>
        </w:trPr>
        <w:tc>
          <w:tcPr>
            <w:tcW w:w="138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华为IPS6585F</w:t>
            </w:r>
          </w:p>
        </w:tc>
        <w:tc>
          <w:tcPr>
            <w:tcW w:w="26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仿宋_GB2312" w:hAnsi="仿宋_GB2312" w:eastAsia="仿宋_GB2312" w:cs="仿宋_GB2312"/>
                <w:color w:val="000000"/>
                <w:sz w:val="24"/>
                <w:szCs w:val="24"/>
                <w:lang w:eastAsia="zh-CN"/>
              </w:rPr>
            </w:pPr>
            <w:r>
              <w:rPr>
                <w:rStyle w:val="172"/>
                <w:rFonts w:hint="default" w:ascii="仿宋_GB2312" w:hAnsi="仿宋_GB2312" w:eastAsia="仿宋_GB2312" w:cs="仿宋_GB2312"/>
                <w:color w:val="1F1F1F"/>
                <w:sz w:val="24"/>
                <w:szCs w:val="24"/>
                <w:lang w:eastAsia="zh-CN" w:bidi="ar"/>
              </w:rPr>
              <w:t>入侵防御与僵尸网络检测特征库升级</w:t>
            </w:r>
            <w:r>
              <w:rPr>
                <w:rStyle w:val="173"/>
                <w:rFonts w:hint="eastAsia" w:ascii="仿宋_GB2312" w:hAnsi="仿宋_GB2312" w:eastAsia="仿宋_GB2312" w:cs="仿宋_GB2312"/>
                <w:color w:val="1F1F1F"/>
                <w:sz w:val="24"/>
                <w:szCs w:val="24"/>
                <w:lang w:eastAsia="zh-CN" w:bidi="ar"/>
              </w:rPr>
              <w:t>1</w:t>
            </w:r>
            <w:r>
              <w:rPr>
                <w:rStyle w:val="172"/>
                <w:rFonts w:hint="default" w:ascii="仿宋_GB2312" w:hAnsi="仿宋_GB2312" w:eastAsia="仿宋_GB2312" w:cs="仿宋_GB2312"/>
                <w:color w:val="1F1F1F"/>
                <w:sz w:val="24"/>
                <w:szCs w:val="24"/>
                <w:lang w:eastAsia="zh-CN" w:bidi="ar"/>
              </w:rPr>
              <w:t>年</w:t>
            </w:r>
            <w:r>
              <w:rPr>
                <w:rStyle w:val="173"/>
                <w:rFonts w:hint="eastAsia" w:ascii="仿宋_GB2312" w:hAnsi="仿宋_GB2312" w:eastAsia="仿宋_GB2312" w:cs="仿宋_GB2312"/>
                <w:color w:val="1F1F1F"/>
                <w:sz w:val="24"/>
                <w:szCs w:val="24"/>
                <w:lang w:eastAsia="zh-CN" w:bidi="ar"/>
              </w:rPr>
              <w:t>(</w:t>
            </w:r>
            <w:r>
              <w:rPr>
                <w:rStyle w:val="172"/>
                <w:rFonts w:hint="default" w:ascii="仿宋_GB2312" w:hAnsi="仿宋_GB2312" w:eastAsia="仿宋_GB2312" w:cs="仿宋_GB2312"/>
                <w:color w:val="1F1F1F"/>
                <w:sz w:val="24"/>
                <w:szCs w:val="24"/>
                <w:lang w:eastAsia="zh-CN" w:bidi="ar"/>
              </w:rPr>
              <w:t>适用于企业</w:t>
            </w:r>
            <w:r>
              <w:rPr>
                <w:rStyle w:val="173"/>
                <w:rFonts w:hint="eastAsia" w:ascii="仿宋_GB2312" w:hAnsi="仿宋_GB2312" w:eastAsia="仿宋_GB2312" w:cs="仿宋_GB2312"/>
                <w:color w:val="1F1F1F"/>
                <w:sz w:val="24"/>
                <w:szCs w:val="24"/>
                <w:lang w:eastAsia="zh-CN" w:bidi="ar"/>
              </w:rPr>
              <w:t>IPS6585F)</w:t>
            </w:r>
          </w:p>
        </w:tc>
        <w:tc>
          <w:tcPr>
            <w:tcW w:w="5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项</w:t>
            </w:r>
          </w:p>
        </w:tc>
        <w:tc>
          <w:tcPr>
            <w:tcW w:w="3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2</w:t>
            </w:r>
          </w:p>
        </w:tc>
      </w:tr>
      <w:tr>
        <w:tblPrEx>
          <w:tblCellMar>
            <w:top w:w="0" w:type="dxa"/>
            <w:left w:w="108" w:type="dxa"/>
            <w:bottom w:w="0" w:type="dxa"/>
            <w:right w:w="108" w:type="dxa"/>
          </w:tblCellMar>
        </w:tblPrEx>
        <w:trPr>
          <w:trHeight w:val="270" w:hRule="atLeast"/>
        </w:trPr>
        <w:tc>
          <w:tcPr>
            <w:tcW w:w="138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华为IPS6585F</w:t>
            </w:r>
          </w:p>
        </w:tc>
        <w:tc>
          <w:tcPr>
            <w:tcW w:w="26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仿宋_GB2312" w:hAnsi="仿宋_GB2312" w:eastAsia="仿宋_GB2312" w:cs="仿宋_GB2312"/>
                <w:color w:val="000000"/>
                <w:sz w:val="24"/>
                <w:szCs w:val="24"/>
                <w:lang w:eastAsia="zh-CN"/>
              </w:rPr>
            </w:pPr>
            <w:r>
              <w:rPr>
                <w:rStyle w:val="172"/>
                <w:rFonts w:hint="default" w:ascii="仿宋_GB2312" w:hAnsi="仿宋_GB2312" w:eastAsia="仿宋_GB2312" w:cs="仿宋_GB2312"/>
                <w:color w:val="1F1F1F"/>
                <w:sz w:val="24"/>
                <w:szCs w:val="24"/>
                <w:lang w:eastAsia="zh-CN" w:bidi="ar"/>
              </w:rPr>
              <w:t>反病毒特征库升级</w:t>
            </w:r>
            <w:r>
              <w:rPr>
                <w:rStyle w:val="173"/>
                <w:rFonts w:hint="eastAsia" w:ascii="仿宋_GB2312" w:hAnsi="仿宋_GB2312" w:eastAsia="仿宋_GB2312" w:cs="仿宋_GB2312"/>
                <w:color w:val="1F1F1F"/>
                <w:sz w:val="24"/>
                <w:szCs w:val="24"/>
                <w:lang w:eastAsia="zh-CN" w:bidi="ar"/>
              </w:rPr>
              <w:t>1</w:t>
            </w:r>
            <w:r>
              <w:rPr>
                <w:rStyle w:val="172"/>
                <w:rFonts w:hint="default" w:ascii="仿宋_GB2312" w:hAnsi="仿宋_GB2312" w:eastAsia="仿宋_GB2312" w:cs="仿宋_GB2312"/>
                <w:color w:val="1F1F1F"/>
                <w:sz w:val="24"/>
                <w:szCs w:val="24"/>
                <w:lang w:eastAsia="zh-CN" w:bidi="ar"/>
              </w:rPr>
              <w:t>年</w:t>
            </w:r>
            <w:r>
              <w:rPr>
                <w:rStyle w:val="173"/>
                <w:rFonts w:hint="eastAsia" w:ascii="仿宋_GB2312" w:hAnsi="仿宋_GB2312" w:eastAsia="仿宋_GB2312" w:cs="仿宋_GB2312"/>
                <w:color w:val="1F1F1F"/>
                <w:sz w:val="24"/>
                <w:szCs w:val="24"/>
                <w:lang w:eastAsia="zh-CN" w:bidi="ar"/>
              </w:rPr>
              <w:t>(</w:t>
            </w:r>
            <w:r>
              <w:rPr>
                <w:rStyle w:val="172"/>
                <w:rFonts w:hint="default" w:ascii="仿宋_GB2312" w:hAnsi="仿宋_GB2312" w:eastAsia="仿宋_GB2312" w:cs="仿宋_GB2312"/>
                <w:color w:val="1F1F1F"/>
                <w:sz w:val="24"/>
                <w:szCs w:val="24"/>
                <w:lang w:eastAsia="zh-CN" w:bidi="ar"/>
              </w:rPr>
              <w:t>适用于企业</w:t>
            </w:r>
            <w:r>
              <w:rPr>
                <w:rStyle w:val="173"/>
                <w:rFonts w:hint="eastAsia" w:ascii="仿宋_GB2312" w:hAnsi="仿宋_GB2312" w:eastAsia="仿宋_GB2312" w:cs="仿宋_GB2312"/>
                <w:color w:val="1F1F1F"/>
                <w:sz w:val="24"/>
                <w:szCs w:val="24"/>
                <w:lang w:eastAsia="zh-CN" w:bidi="ar"/>
              </w:rPr>
              <w:t>IPS6585F)</w:t>
            </w:r>
          </w:p>
        </w:tc>
        <w:tc>
          <w:tcPr>
            <w:tcW w:w="5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项</w:t>
            </w:r>
          </w:p>
        </w:tc>
        <w:tc>
          <w:tcPr>
            <w:tcW w:w="3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2</w:t>
            </w:r>
          </w:p>
        </w:tc>
      </w:tr>
      <w:tr>
        <w:tblPrEx>
          <w:tblCellMar>
            <w:top w:w="0" w:type="dxa"/>
            <w:left w:w="108" w:type="dxa"/>
            <w:bottom w:w="0" w:type="dxa"/>
            <w:right w:w="108" w:type="dxa"/>
          </w:tblCellMar>
        </w:tblPrEx>
        <w:trPr>
          <w:trHeight w:val="270" w:hRule="atLeast"/>
        </w:trPr>
        <w:tc>
          <w:tcPr>
            <w:tcW w:w="138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华为IPS6515E</w:t>
            </w:r>
          </w:p>
        </w:tc>
        <w:tc>
          <w:tcPr>
            <w:tcW w:w="26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仿宋_GB2312" w:hAnsi="仿宋_GB2312" w:eastAsia="仿宋_GB2312" w:cs="仿宋_GB2312"/>
                <w:color w:val="000000"/>
                <w:sz w:val="24"/>
                <w:szCs w:val="24"/>
                <w:lang w:eastAsia="zh-CN"/>
              </w:rPr>
            </w:pPr>
            <w:r>
              <w:rPr>
                <w:rStyle w:val="173"/>
                <w:rFonts w:hint="eastAsia" w:ascii="仿宋_GB2312" w:hAnsi="仿宋_GB2312" w:eastAsia="仿宋_GB2312" w:cs="仿宋_GB2312"/>
                <w:color w:val="1F1F1F"/>
                <w:sz w:val="24"/>
                <w:szCs w:val="24"/>
                <w:lang w:eastAsia="zh-CN" w:bidi="ar"/>
              </w:rPr>
              <w:t>IPS</w:t>
            </w:r>
            <w:r>
              <w:rPr>
                <w:rStyle w:val="172"/>
                <w:rFonts w:hint="default" w:ascii="仿宋_GB2312" w:hAnsi="仿宋_GB2312" w:eastAsia="仿宋_GB2312" w:cs="仿宋_GB2312"/>
                <w:color w:val="1F1F1F"/>
                <w:sz w:val="24"/>
                <w:szCs w:val="24"/>
                <w:lang w:eastAsia="zh-CN" w:bidi="ar"/>
              </w:rPr>
              <w:t>特征库升级</w:t>
            </w:r>
            <w:r>
              <w:rPr>
                <w:rStyle w:val="173"/>
                <w:rFonts w:hint="eastAsia" w:ascii="仿宋_GB2312" w:hAnsi="仿宋_GB2312" w:eastAsia="仿宋_GB2312" w:cs="仿宋_GB2312"/>
                <w:color w:val="1F1F1F"/>
                <w:sz w:val="24"/>
                <w:szCs w:val="24"/>
                <w:lang w:eastAsia="zh-CN" w:bidi="ar"/>
              </w:rPr>
              <w:t>12</w:t>
            </w:r>
            <w:r>
              <w:rPr>
                <w:rStyle w:val="172"/>
                <w:rFonts w:hint="default" w:ascii="仿宋_GB2312" w:hAnsi="仿宋_GB2312" w:eastAsia="仿宋_GB2312" w:cs="仿宋_GB2312"/>
                <w:color w:val="1F1F1F"/>
                <w:sz w:val="24"/>
                <w:szCs w:val="24"/>
                <w:lang w:eastAsia="zh-CN" w:bidi="ar"/>
              </w:rPr>
              <w:t>个月</w:t>
            </w:r>
            <w:r>
              <w:rPr>
                <w:rStyle w:val="173"/>
                <w:rFonts w:hint="eastAsia" w:ascii="仿宋_GB2312" w:hAnsi="仿宋_GB2312" w:eastAsia="仿宋_GB2312" w:cs="仿宋_GB2312"/>
                <w:color w:val="1F1F1F"/>
                <w:sz w:val="24"/>
                <w:szCs w:val="24"/>
                <w:lang w:eastAsia="zh-CN" w:bidi="ar"/>
              </w:rPr>
              <w:t>(</w:t>
            </w:r>
            <w:r>
              <w:rPr>
                <w:rStyle w:val="172"/>
                <w:rFonts w:hint="default" w:ascii="仿宋_GB2312" w:hAnsi="仿宋_GB2312" w:eastAsia="仿宋_GB2312" w:cs="仿宋_GB2312"/>
                <w:color w:val="1F1F1F"/>
                <w:sz w:val="24"/>
                <w:szCs w:val="24"/>
                <w:lang w:eastAsia="zh-CN" w:bidi="ar"/>
              </w:rPr>
              <w:t>适用于</w:t>
            </w:r>
            <w:r>
              <w:rPr>
                <w:rStyle w:val="173"/>
                <w:rFonts w:hint="eastAsia" w:ascii="仿宋_GB2312" w:hAnsi="仿宋_GB2312" w:eastAsia="仿宋_GB2312" w:cs="仿宋_GB2312"/>
                <w:color w:val="1F1F1F"/>
                <w:sz w:val="24"/>
                <w:szCs w:val="24"/>
                <w:lang w:eastAsia="zh-CN" w:bidi="ar"/>
              </w:rPr>
              <w:t>IPS6515E)</w:t>
            </w:r>
          </w:p>
        </w:tc>
        <w:tc>
          <w:tcPr>
            <w:tcW w:w="5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项</w:t>
            </w:r>
          </w:p>
        </w:tc>
        <w:tc>
          <w:tcPr>
            <w:tcW w:w="3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1</w:t>
            </w:r>
          </w:p>
        </w:tc>
      </w:tr>
      <w:tr>
        <w:tblPrEx>
          <w:tblCellMar>
            <w:top w:w="0" w:type="dxa"/>
            <w:left w:w="108" w:type="dxa"/>
            <w:bottom w:w="0" w:type="dxa"/>
            <w:right w:w="108" w:type="dxa"/>
          </w:tblCellMar>
        </w:tblPrEx>
        <w:trPr>
          <w:trHeight w:val="270" w:hRule="atLeast"/>
        </w:trPr>
        <w:tc>
          <w:tcPr>
            <w:tcW w:w="138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华为IPS6515E</w:t>
            </w:r>
          </w:p>
        </w:tc>
        <w:tc>
          <w:tcPr>
            <w:tcW w:w="26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仿宋_GB2312" w:hAnsi="仿宋_GB2312" w:eastAsia="仿宋_GB2312" w:cs="仿宋_GB2312"/>
                <w:color w:val="000000"/>
                <w:sz w:val="24"/>
                <w:szCs w:val="24"/>
                <w:lang w:eastAsia="zh-CN"/>
              </w:rPr>
            </w:pPr>
            <w:r>
              <w:rPr>
                <w:rStyle w:val="173"/>
                <w:rFonts w:hint="eastAsia" w:ascii="仿宋_GB2312" w:hAnsi="仿宋_GB2312" w:eastAsia="仿宋_GB2312" w:cs="仿宋_GB2312"/>
                <w:color w:val="1F1F1F"/>
                <w:sz w:val="24"/>
                <w:szCs w:val="24"/>
                <w:lang w:eastAsia="zh-CN" w:bidi="ar"/>
              </w:rPr>
              <w:t>AV</w:t>
            </w:r>
            <w:r>
              <w:rPr>
                <w:rStyle w:val="172"/>
                <w:rFonts w:hint="default" w:ascii="仿宋_GB2312" w:hAnsi="仿宋_GB2312" w:eastAsia="仿宋_GB2312" w:cs="仿宋_GB2312"/>
                <w:color w:val="1F1F1F"/>
                <w:sz w:val="24"/>
                <w:szCs w:val="24"/>
                <w:lang w:eastAsia="zh-CN" w:bidi="ar"/>
              </w:rPr>
              <w:t>特征库升级</w:t>
            </w:r>
            <w:r>
              <w:rPr>
                <w:rStyle w:val="173"/>
                <w:rFonts w:hint="eastAsia" w:ascii="仿宋_GB2312" w:hAnsi="仿宋_GB2312" w:eastAsia="仿宋_GB2312" w:cs="仿宋_GB2312"/>
                <w:color w:val="1F1F1F"/>
                <w:sz w:val="24"/>
                <w:szCs w:val="24"/>
                <w:lang w:eastAsia="zh-CN" w:bidi="ar"/>
              </w:rPr>
              <w:t>12</w:t>
            </w:r>
            <w:r>
              <w:rPr>
                <w:rStyle w:val="172"/>
                <w:rFonts w:hint="default" w:ascii="仿宋_GB2312" w:hAnsi="仿宋_GB2312" w:eastAsia="仿宋_GB2312" w:cs="仿宋_GB2312"/>
                <w:color w:val="1F1F1F"/>
                <w:sz w:val="24"/>
                <w:szCs w:val="24"/>
                <w:lang w:eastAsia="zh-CN" w:bidi="ar"/>
              </w:rPr>
              <w:t>个月</w:t>
            </w:r>
            <w:r>
              <w:rPr>
                <w:rStyle w:val="173"/>
                <w:rFonts w:hint="eastAsia" w:ascii="仿宋_GB2312" w:hAnsi="仿宋_GB2312" w:eastAsia="仿宋_GB2312" w:cs="仿宋_GB2312"/>
                <w:color w:val="1F1F1F"/>
                <w:sz w:val="24"/>
                <w:szCs w:val="24"/>
                <w:lang w:eastAsia="zh-CN" w:bidi="ar"/>
              </w:rPr>
              <w:t>(</w:t>
            </w:r>
            <w:r>
              <w:rPr>
                <w:rStyle w:val="172"/>
                <w:rFonts w:hint="default" w:ascii="仿宋_GB2312" w:hAnsi="仿宋_GB2312" w:eastAsia="仿宋_GB2312" w:cs="仿宋_GB2312"/>
                <w:color w:val="1F1F1F"/>
                <w:sz w:val="24"/>
                <w:szCs w:val="24"/>
                <w:lang w:eastAsia="zh-CN" w:bidi="ar"/>
              </w:rPr>
              <w:t>适用于</w:t>
            </w:r>
            <w:r>
              <w:rPr>
                <w:rStyle w:val="173"/>
                <w:rFonts w:hint="eastAsia" w:ascii="仿宋_GB2312" w:hAnsi="仿宋_GB2312" w:eastAsia="仿宋_GB2312" w:cs="仿宋_GB2312"/>
                <w:color w:val="1F1F1F"/>
                <w:sz w:val="24"/>
                <w:szCs w:val="24"/>
                <w:lang w:eastAsia="zh-CN" w:bidi="ar"/>
              </w:rPr>
              <w:t>IPS6515E)</w:t>
            </w:r>
          </w:p>
        </w:tc>
        <w:tc>
          <w:tcPr>
            <w:tcW w:w="5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项</w:t>
            </w:r>
          </w:p>
        </w:tc>
        <w:tc>
          <w:tcPr>
            <w:tcW w:w="3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1</w:t>
            </w:r>
          </w:p>
        </w:tc>
      </w:tr>
      <w:tr>
        <w:tblPrEx>
          <w:tblCellMar>
            <w:top w:w="0" w:type="dxa"/>
            <w:left w:w="108" w:type="dxa"/>
            <w:bottom w:w="0" w:type="dxa"/>
            <w:right w:w="108" w:type="dxa"/>
          </w:tblCellMar>
        </w:tblPrEx>
        <w:trPr>
          <w:trHeight w:val="510" w:hRule="atLeast"/>
        </w:trPr>
        <w:tc>
          <w:tcPr>
            <w:tcW w:w="1389"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安恒综合日志审计DAS-TCLOUD-HW-LOG950</w:t>
            </w:r>
          </w:p>
        </w:tc>
        <w:tc>
          <w:tcPr>
            <w:tcW w:w="2660" w:type="pct"/>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仿宋_GB2312" w:hAnsi="仿宋_GB2312" w:eastAsia="仿宋_GB2312" w:cs="仿宋_GB2312"/>
                <w:color w:val="000000"/>
                <w:sz w:val="24"/>
                <w:szCs w:val="24"/>
                <w:lang w:eastAsia="zh-CN"/>
              </w:rPr>
            </w:pPr>
            <w:r>
              <w:rPr>
                <w:rStyle w:val="172"/>
                <w:rFonts w:hint="default" w:ascii="仿宋_GB2312" w:hAnsi="仿宋_GB2312" w:eastAsia="仿宋_GB2312" w:cs="仿宋_GB2312"/>
                <w:color w:val="1F1F1F"/>
                <w:sz w:val="24"/>
                <w:szCs w:val="24"/>
                <w:lang w:eastAsia="zh-CN" w:bidi="ar"/>
              </w:rPr>
              <w:t>日志审计维保服务</w:t>
            </w:r>
            <w:r>
              <w:rPr>
                <w:rStyle w:val="173"/>
                <w:rFonts w:hint="eastAsia" w:ascii="仿宋_GB2312" w:hAnsi="仿宋_GB2312" w:eastAsia="仿宋_GB2312" w:cs="仿宋_GB2312"/>
                <w:color w:val="1F1F1F"/>
                <w:sz w:val="24"/>
                <w:szCs w:val="24"/>
                <w:lang w:eastAsia="zh-CN" w:bidi="ar"/>
              </w:rPr>
              <w:t>(7*24)+</w:t>
            </w:r>
            <w:r>
              <w:rPr>
                <w:rStyle w:val="172"/>
                <w:rFonts w:hint="default" w:ascii="仿宋_GB2312" w:hAnsi="仿宋_GB2312" w:eastAsia="仿宋_GB2312" w:cs="仿宋_GB2312"/>
                <w:color w:val="1F1F1F"/>
                <w:sz w:val="24"/>
                <w:szCs w:val="24"/>
                <w:lang w:eastAsia="zh-CN" w:bidi="ar"/>
              </w:rPr>
              <w:t>特征库升级</w:t>
            </w:r>
          </w:p>
        </w:tc>
        <w:tc>
          <w:tcPr>
            <w:tcW w:w="554"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项</w:t>
            </w:r>
          </w:p>
        </w:tc>
        <w:tc>
          <w:tcPr>
            <w:tcW w:w="396" w:type="pc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bidi="ar"/>
              </w:rPr>
              <w:t>1</w:t>
            </w:r>
          </w:p>
        </w:tc>
      </w:tr>
    </w:tbl>
    <w:p>
      <w:pPr>
        <w:rPr>
          <w:rFonts w:hint="eastAsia"/>
          <w:lang w:eastAsia="zh-CN"/>
        </w:rPr>
      </w:pPr>
    </w:p>
    <w:p>
      <w:pPr>
        <w:spacing w:line="240" w:lineRule="auto"/>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七</w:t>
      </w:r>
      <w:r>
        <w:rPr>
          <w:rFonts w:hint="eastAsia" w:ascii="楷体_GB2312" w:hAnsi="楷体_GB2312" w:eastAsia="楷体_GB2312" w:cs="楷体_GB2312"/>
          <w:sz w:val="32"/>
          <w:szCs w:val="32"/>
        </w:rPr>
        <w:t>）服务商资质要求</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参照《中华人民共和国政府采购法》第二十二条规定，服务商须符合以下条件：</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1.具有独立承担民事责任的能力。</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2.具有良好的商业信誉和健全的财务会计制度。</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3.具有履行合同所必需的设备、专业技术能力和数据处理能力。</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4.具有依法缴纳税收和社会保障资金的良好记录。</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参加采购活动前三年内，在经营活动中没有重大违法记录。服务商未被列入“信用中国”网站（www.creditchina.gov.cn）失信被执行人、重大税收违法失信主体或政府采购严重违法失信行为记录名单；不处于中国政府采购网（www.ccgp.gov.cn）政府采购严重违法失信行为信息记录中的禁止参加政府采购活动期间。</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6.本项目不接受联合体参与，严禁转包或违法分包。</w:t>
      </w:r>
    </w:p>
    <w:p>
      <w:pPr>
        <w:spacing w:after="0" w:line="54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（八）报价要求</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最高限价为人民币261900.00元（大写：贰拾陆万壹仟玖佰元）。响应报价超过最高限价的，按无效响应处理。报价包括本项目采购需求和投入使用的所有费用，包括但不限于主件、标准附件、备品备件、施工、服务、专用工具、安装、调试、检验、培训、运输、保险、税款及其他相关费用。</w:t>
      </w:r>
    </w:p>
    <w:p>
      <w:pPr>
        <w:spacing w:after="0" w:line="54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（九）响应报价说明</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响应资料必须加盖公章后密封，并在封面注明投件单位、联系人及联系电话，在封口处加贴封条并加盖公章。未按要求密封盖章或逾期送达的文件将视为无效。报价材料包括：</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1.《营业执照》复印件、法定代表人身份证复印件（正、反面）；</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2.报价表（见附件1）；</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3.资格条件承诺函（见附件2）；</w:t>
      </w:r>
    </w:p>
    <w:p>
      <w:pPr>
        <w:spacing w:after="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4.服务商信用查询截图（查询渠道：“信用中国”（www.creditchina.gov.cn）、“中国政府采购网”（http://www.ccgp.gov.cn/），查询时间截点：采购公告发布之日至响应文件提交截止时间前）；</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5.法定代表人授权书（模板见附件3，无授权代表可不提供）；</w:t>
      </w:r>
    </w:p>
    <w:p>
      <w:pPr>
        <w:spacing w:after="0" w:line="540" w:lineRule="exact"/>
        <w:ind w:firstLine="640" w:firstLineChars="200"/>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eastAsia="zh-CN"/>
        </w:rPr>
        <w:t>6.根据本采购需求书编制的技术服务方案、项目团队、同类业绩、服务响应和其他证明材料（建议列索引表）。</w:t>
      </w:r>
    </w:p>
    <w:p>
      <w:pPr>
        <w:spacing w:after="0" w:line="54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（十）支付方式</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1.技术服务费由采购人分期支付服务商。采购人在每期付款前，服务商应提前7个工作日将等额合法有效的普通发票开具给采购人，否则采购人有权拒绝付款。</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2.第一期：合同签订后，采购人在收到服务商提供的合法有效等额发票后10个工作日内支付人民币53900元。</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3.第二期：采购人在服务周期结束验收合格后10个工作日内付服务商余下合同款项。</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4.因服务商原因导致付款时间迟延的，由服务商承担相应责任，采购人财政支付审批流程不计入付款时间。本项目支付相关细则、时间约束及权责约定最终以双方签订的正式合同文本为准。</w:t>
      </w:r>
    </w:p>
    <w:p>
      <w:pPr>
        <w:spacing w:after="0" w:line="540" w:lineRule="exact"/>
        <w:ind w:firstLine="640" w:firstLineChars="200"/>
        <w:rPr>
          <w:rFonts w:hint="eastAsia" w:ascii="黑体" w:hAnsi="黑体" w:eastAsia="黑体" w:cs="国标黑体"/>
          <w:sz w:val="32"/>
          <w:szCs w:val="32"/>
          <w:lang w:eastAsia="zh-CN"/>
        </w:rPr>
      </w:pPr>
      <w:r>
        <w:rPr>
          <w:rFonts w:hint="eastAsia" w:ascii="黑体" w:hAnsi="黑体" w:eastAsia="黑体" w:cs="国标黑体"/>
          <w:sz w:val="32"/>
          <w:szCs w:val="32"/>
          <w:lang w:eastAsia="zh-CN"/>
        </w:rPr>
        <w:t>三、评审标准</w:t>
      </w:r>
    </w:p>
    <w:p>
      <w:pPr>
        <w:spacing w:after="0"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本项目采用综合评分法，所有响应文件的评分分别按技术部分、商务部分和报价部分进行打分，满分100分。其中，技术部分50分，商务部分30分，报价部分20分。</w:t>
      </w:r>
    </w:p>
    <w:p>
      <w:pPr>
        <w:spacing w:after="80" w:line="360" w:lineRule="auto"/>
        <w:rPr>
          <w:rFonts w:hint="eastAsia"/>
          <w:lang w:eastAsia="zh-CN"/>
        </w:rPr>
      </w:pPr>
    </w:p>
    <w:tbl>
      <w:tblPr>
        <w:tblStyle w:val="40"/>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1680"/>
        <w:gridCol w:w="1020"/>
        <w:gridCol w:w="4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4"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类别</w:t>
            </w:r>
          </w:p>
        </w:tc>
        <w:tc>
          <w:tcPr>
            <w:tcW w:w="1680"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评分因素</w:t>
            </w:r>
          </w:p>
        </w:tc>
        <w:tc>
          <w:tcPr>
            <w:tcW w:w="1020"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分值</w:t>
            </w:r>
          </w:p>
        </w:tc>
        <w:tc>
          <w:tcPr>
            <w:tcW w:w="4773" w:type="dxa"/>
          </w:tcPr>
          <w:p>
            <w:pPr>
              <w:pStyle w:val="2"/>
              <w:spacing w:line="380" w:lineRule="exact"/>
              <w:ind w:left="0" w:leftChars="0"/>
              <w:jc w:val="center"/>
              <w:rPr>
                <w:rFonts w:hint="eastAsia" w:ascii="仿宋_GB2312" w:hAnsi="仿宋_GB2312" w:eastAsia="仿宋_GB2312" w:cs="仿宋_GB2312"/>
                <w:szCs w:val="21"/>
              </w:rPr>
            </w:pPr>
            <w:r>
              <w:rPr>
                <w:rFonts w:hint="eastAsia" w:ascii="仿宋_GB2312" w:hAnsi="仿宋_GB2312" w:eastAsia="仿宋_GB2312" w:cs="仿宋_GB2312"/>
                <w:bCs/>
                <w:szCs w:val="21"/>
              </w:rPr>
              <w:t>评审重点及标准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4" w:type="dxa"/>
            <w:vAlign w:val="center"/>
          </w:tcPr>
          <w:p>
            <w:pPr>
              <w:pStyle w:val="2"/>
              <w:spacing w:line="380" w:lineRule="exact"/>
              <w:ind w:left="0" w:leftChars="0"/>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技术部分</w:t>
            </w:r>
          </w:p>
        </w:tc>
        <w:tc>
          <w:tcPr>
            <w:tcW w:w="1680" w:type="dxa"/>
            <w:vAlign w:val="center"/>
          </w:tcPr>
          <w:p>
            <w:pPr>
              <w:spacing w:after="0" w:line="38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2"/>
                <w:szCs w:val="21"/>
                <w:lang w:eastAsia="zh-CN" w:bidi="ar"/>
              </w:rPr>
              <w:t>服务方案</w:t>
            </w:r>
          </w:p>
        </w:tc>
        <w:tc>
          <w:tcPr>
            <w:tcW w:w="1020"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13</w:t>
            </w:r>
          </w:p>
        </w:tc>
        <w:tc>
          <w:tcPr>
            <w:tcW w:w="4773" w:type="dxa"/>
            <w:vAlign w:val="center"/>
          </w:tcPr>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 xml:space="preserve">根据提供的快速技术和备件支持服务、售后服务方案（包括售后服务承诺、服务能力、保证措施）进行评分： </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优：技术服务方案总体设计情况，完整、可行、科学、合理评价得13分；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良：技术服务方案总体设计情况，较为完整、可行、科学、合理的评价得9分；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中：技术服务方案总体设计情况，基本完整、可行的评价得5分；</w:t>
            </w:r>
          </w:p>
          <w:p>
            <w:pPr>
              <w:spacing w:after="0" w:line="380" w:lineRule="exact"/>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差：技术服务方案总体设计情况，不够完整或不可行的评价得1分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无技术服务方案不得分。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4" w:type="dxa"/>
            <w:vAlign w:val="center"/>
          </w:tcPr>
          <w:p>
            <w:pPr>
              <w:pStyle w:val="2"/>
              <w:spacing w:line="380" w:lineRule="exact"/>
              <w:ind w:left="0" w:leftChars="0"/>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技术部分</w:t>
            </w:r>
          </w:p>
        </w:tc>
        <w:tc>
          <w:tcPr>
            <w:tcW w:w="1680" w:type="dxa"/>
            <w:vAlign w:val="center"/>
          </w:tcPr>
          <w:p>
            <w:pPr>
              <w:spacing w:after="0" w:line="38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项目的组织管理方案</w:t>
            </w:r>
          </w:p>
        </w:tc>
        <w:tc>
          <w:tcPr>
            <w:tcW w:w="1020"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5</w:t>
            </w:r>
          </w:p>
        </w:tc>
        <w:tc>
          <w:tcPr>
            <w:tcW w:w="4773" w:type="dxa"/>
            <w:vAlign w:val="center"/>
          </w:tcPr>
          <w:p>
            <w:pPr>
              <w:spacing w:after="0" w:line="380" w:lineRule="exact"/>
              <w:jc w:val="both"/>
              <w:rPr>
                <w:rFonts w:hint="eastAsia" w:ascii="仿宋_GB2312" w:hAnsi="仿宋_GB2312" w:eastAsia="仿宋_GB2312" w:cs="仿宋_GB2312"/>
                <w:kern w:val="2"/>
                <w:szCs w:val="21"/>
                <w:lang w:eastAsia="zh-CN" w:bidi="ar"/>
              </w:rPr>
            </w:pPr>
            <w:r>
              <w:rPr>
                <w:rFonts w:hint="eastAsia" w:ascii="仿宋_GB2312" w:hAnsi="仿宋_GB2312" w:eastAsia="仿宋_GB2312" w:cs="仿宋_GB2312"/>
                <w:kern w:val="2"/>
                <w:szCs w:val="21"/>
                <w:lang w:eastAsia="zh-CN" w:bidi="ar"/>
              </w:rPr>
              <w:t>根据投标人</w:t>
            </w:r>
            <w:r>
              <w:rPr>
                <w:rFonts w:ascii="仿宋_GB2312" w:hAnsi="仿宋_GB2312" w:eastAsia="仿宋_GB2312" w:cs="仿宋_GB2312"/>
                <w:kern w:val="2"/>
                <w:szCs w:val="21"/>
                <w:lang w:eastAsia="zh-CN" w:bidi="ar"/>
              </w:rPr>
              <w:t>提供的项目组织管理</w:t>
            </w:r>
            <w:r>
              <w:rPr>
                <w:rFonts w:hint="eastAsia" w:ascii="仿宋_GB2312" w:hAnsi="仿宋_GB2312" w:eastAsia="仿宋_GB2312" w:cs="仿宋_GB2312"/>
                <w:kern w:val="2"/>
                <w:szCs w:val="21"/>
                <w:lang w:eastAsia="zh-CN" w:bidi="ar"/>
              </w:rPr>
              <w:t>方案（包括但不限于清晰完整的服务组织管理、服务流程、沟通机制等）进行评分：</w:t>
            </w:r>
          </w:p>
          <w:p>
            <w:pPr>
              <w:spacing w:after="0" w:line="380" w:lineRule="exact"/>
              <w:jc w:val="both"/>
              <w:rPr>
                <w:rFonts w:hint="eastAsia" w:ascii="仿宋_GB2312" w:hAnsi="仿宋_GB2312" w:eastAsia="仿宋_GB2312" w:cs="仿宋_GB2312"/>
                <w:kern w:val="2"/>
                <w:szCs w:val="21"/>
                <w:lang w:eastAsia="zh-CN" w:bidi="ar"/>
              </w:rPr>
            </w:pPr>
            <w:r>
              <w:rPr>
                <w:rFonts w:hint="eastAsia" w:ascii="仿宋_GB2312" w:hAnsi="仿宋_GB2312" w:eastAsia="仿宋_GB2312" w:cs="仿宋_GB2312"/>
                <w:kern w:val="2"/>
                <w:szCs w:val="21"/>
                <w:lang w:eastAsia="zh-CN" w:bidi="ar"/>
              </w:rPr>
              <w:t>优：</w:t>
            </w:r>
            <w:r>
              <w:rPr>
                <w:rFonts w:ascii="仿宋_GB2312" w:hAnsi="仿宋_GB2312" w:eastAsia="仿宋_GB2312" w:cs="仿宋_GB2312"/>
                <w:kern w:val="2"/>
                <w:szCs w:val="21"/>
                <w:lang w:eastAsia="zh-CN" w:bidi="ar"/>
              </w:rPr>
              <w:t>方案</w:t>
            </w:r>
            <w:r>
              <w:rPr>
                <w:rFonts w:hint="eastAsia" w:ascii="仿宋_GB2312" w:hAnsi="仿宋_GB2312" w:eastAsia="仿宋_GB2312" w:cs="仿宋_GB2312"/>
                <w:kern w:val="2"/>
                <w:szCs w:val="21"/>
                <w:lang w:eastAsia="zh-CN" w:bidi="ar"/>
              </w:rPr>
              <w:t>清晰</w:t>
            </w:r>
            <w:r>
              <w:rPr>
                <w:rFonts w:ascii="仿宋_GB2312" w:hAnsi="仿宋_GB2312" w:eastAsia="仿宋_GB2312" w:cs="仿宋_GB2312"/>
                <w:kern w:val="2"/>
                <w:szCs w:val="21"/>
                <w:lang w:eastAsia="zh-CN" w:bidi="ar"/>
              </w:rPr>
              <w:t>完整</w:t>
            </w:r>
            <w:r>
              <w:rPr>
                <w:rFonts w:hint="eastAsia" w:ascii="仿宋_GB2312" w:hAnsi="仿宋_GB2312" w:eastAsia="仿宋_GB2312" w:cs="仿宋_GB2312"/>
                <w:kern w:val="2"/>
                <w:szCs w:val="21"/>
                <w:lang w:eastAsia="zh-CN" w:bidi="ar"/>
              </w:rPr>
              <w:t>、科学</w:t>
            </w:r>
            <w:r>
              <w:rPr>
                <w:rFonts w:ascii="仿宋_GB2312" w:hAnsi="仿宋_GB2312" w:eastAsia="仿宋_GB2312" w:cs="仿宋_GB2312"/>
                <w:kern w:val="2"/>
                <w:szCs w:val="21"/>
                <w:lang w:eastAsia="zh-CN" w:bidi="ar"/>
              </w:rPr>
              <w:t>合理、可行性强，得5分；</w:t>
            </w:r>
          </w:p>
          <w:p>
            <w:pPr>
              <w:spacing w:after="0" w:line="380" w:lineRule="exact"/>
              <w:jc w:val="both"/>
              <w:rPr>
                <w:rFonts w:hint="eastAsia" w:ascii="仿宋_GB2312" w:hAnsi="仿宋_GB2312" w:eastAsia="仿宋_GB2312" w:cs="仿宋_GB2312"/>
                <w:kern w:val="2"/>
                <w:szCs w:val="21"/>
                <w:lang w:eastAsia="zh-CN" w:bidi="ar"/>
              </w:rPr>
            </w:pPr>
            <w:r>
              <w:rPr>
                <w:rFonts w:hint="eastAsia" w:ascii="仿宋_GB2312" w:hAnsi="仿宋_GB2312" w:eastAsia="仿宋_GB2312" w:cs="仿宋_GB2312"/>
                <w:kern w:val="2"/>
                <w:szCs w:val="21"/>
                <w:lang w:eastAsia="zh-CN" w:bidi="ar"/>
              </w:rPr>
              <w:t>良：</w:t>
            </w:r>
            <w:r>
              <w:rPr>
                <w:rFonts w:ascii="仿宋_GB2312" w:hAnsi="仿宋_GB2312" w:eastAsia="仿宋_GB2312" w:cs="仿宋_GB2312"/>
                <w:kern w:val="2"/>
                <w:szCs w:val="21"/>
                <w:lang w:eastAsia="zh-CN" w:bidi="ar"/>
              </w:rPr>
              <w:t>方案较为</w:t>
            </w:r>
            <w:r>
              <w:rPr>
                <w:rFonts w:hint="eastAsia" w:ascii="仿宋_GB2312" w:hAnsi="仿宋_GB2312" w:eastAsia="仿宋_GB2312" w:cs="仿宋_GB2312"/>
                <w:kern w:val="2"/>
                <w:szCs w:val="21"/>
                <w:lang w:eastAsia="zh-CN" w:bidi="ar"/>
              </w:rPr>
              <w:t>清晰</w:t>
            </w:r>
            <w:r>
              <w:rPr>
                <w:rFonts w:ascii="仿宋_GB2312" w:hAnsi="仿宋_GB2312" w:eastAsia="仿宋_GB2312" w:cs="仿宋_GB2312"/>
                <w:kern w:val="2"/>
                <w:szCs w:val="21"/>
                <w:lang w:eastAsia="zh-CN" w:bidi="ar"/>
              </w:rPr>
              <w:t>完整合理，可行性较强，得4分；</w:t>
            </w:r>
          </w:p>
          <w:p>
            <w:pPr>
              <w:spacing w:after="0" w:line="380" w:lineRule="exact"/>
              <w:jc w:val="both"/>
              <w:rPr>
                <w:rFonts w:hint="eastAsia" w:ascii="仿宋_GB2312" w:hAnsi="仿宋_GB2312" w:eastAsia="仿宋_GB2312" w:cs="仿宋_GB2312"/>
                <w:kern w:val="2"/>
                <w:szCs w:val="21"/>
                <w:lang w:eastAsia="zh-CN" w:bidi="ar"/>
              </w:rPr>
            </w:pPr>
            <w:r>
              <w:rPr>
                <w:rFonts w:hint="eastAsia" w:ascii="仿宋_GB2312" w:hAnsi="仿宋_GB2312" w:eastAsia="仿宋_GB2312" w:cs="仿宋_GB2312"/>
                <w:kern w:val="2"/>
                <w:szCs w:val="21"/>
                <w:lang w:eastAsia="zh-CN" w:bidi="ar"/>
              </w:rPr>
              <w:t>中：</w:t>
            </w:r>
            <w:r>
              <w:rPr>
                <w:rFonts w:ascii="仿宋_GB2312" w:hAnsi="仿宋_GB2312" w:eastAsia="仿宋_GB2312" w:cs="仿宋_GB2312"/>
                <w:kern w:val="2"/>
                <w:szCs w:val="21"/>
                <w:lang w:eastAsia="zh-CN" w:bidi="ar"/>
              </w:rPr>
              <w:t>方案基本</w:t>
            </w:r>
            <w:r>
              <w:rPr>
                <w:rFonts w:hint="eastAsia" w:ascii="仿宋_GB2312" w:hAnsi="仿宋_GB2312" w:eastAsia="仿宋_GB2312" w:cs="仿宋_GB2312"/>
                <w:kern w:val="2"/>
                <w:szCs w:val="21"/>
                <w:lang w:eastAsia="zh-CN" w:bidi="ar"/>
              </w:rPr>
              <w:t>清晰</w:t>
            </w:r>
            <w:r>
              <w:rPr>
                <w:rFonts w:ascii="仿宋_GB2312" w:hAnsi="仿宋_GB2312" w:eastAsia="仿宋_GB2312" w:cs="仿宋_GB2312"/>
                <w:kern w:val="2"/>
                <w:szCs w:val="21"/>
                <w:lang w:eastAsia="zh-CN" w:bidi="ar"/>
              </w:rPr>
              <w:t>完整，合理性一般，可行性一般，得3分；</w:t>
            </w:r>
          </w:p>
          <w:p>
            <w:pPr>
              <w:spacing w:after="0" w:line="380" w:lineRule="exact"/>
              <w:jc w:val="both"/>
              <w:rPr>
                <w:rFonts w:hint="eastAsia" w:ascii="仿宋_GB2312" w:hAnsi="仿宋_GB2312" w:eastAsia="仿宋_GB2312" w:cs="仿宋_GB2312"/>
                <w:kern w:val="2"/>
                <w:szCs w:val="21"/>
                <w:lang w:eastAsia="zh-CN" w:bidi="ar"/>
              </w:rPr>
            </w:pPr>
            <w:r>
              <w:rPr>
                <w:rFonts w:hint="eastAsia" w:ascii="仿宋_GB2312" w:hAnsi="仿宋_GB2312" w:eastAsia="仿宋_GB2312" w:cs="仿宋_GB2312"/>
                <w:kern w:val="2"/>
                <w:szCs w:val="21"/>
                <w:lang w:eastAsia="zh-CN" w:bidi="ar"/>
              </w:rPr>
              <w:t>差：</w:t>
            </w:r>
            <w:r>
              <w:rPr>
                <w:rFonts w:ascii="仿宋_GB2312" w:hAnsi="仿宋_GB2312" w:eastAsia="仿宋_GB2312" w:cs="仿宋_GB2312"/>
                <w:kern w:val="2"/>
                <w:szCs w:val="21"/>
                <w:lang w:eastAsia="zh-CN" w:bidi="ar"/>
              </w:rPr>
              <w:t>方案</w:t>
            </w:r>
            <w:r>
              <w:rPr>
                <w:rFonts w:hint="eastAsia" w:ascii="仿宋_GB2312" w:hAnsi="仿宋_GB2312" w:eastAsia="仿宋_GB2312" w:cs="仿宋_GB2312"/>
                <w:kern w:val="2"/>
                <w:szCs w:val="21"/>
                <w:lang w:eastAsia="zh-CN" w:bidi="ar"/>
              </w:rPr>
              <w:t>不够清晰</w:t>
            </w:r>
            <w:r>
              <w:rPr>
                <w:rFonts w:ascii="仿宋_GB2312" w:hAnsi="仿宋_GB2312" w:eastAsia="仿宋_GB2312" w:cs="仿宋_GB2312"/>
                <w:kern w:val="2"/>
                <w:szCs w:val="21"/>
                <w:lang w:eastAsia="zh-CN" w:bidi="ar"/>
              </w:rPr>
              <w:t>完整，合理性较差，可行性较差，得1分；</w:t>
            </w:r>
          </w:p>
          <w:p>
            <w:pPr>
              <w:spacing w:after="0" w:line="380" w:lineRule="exact"/>
              <w:jc w:val="both"/>
              <w:rPr>
                <w:rFonts w:hint="eastAsia" w:ascii="仿宋_GB2312" w:hAnsi="仿宋_GB2312" w:eastAsia="仿宋_GB2312" w:cs="仿宋_GB2312"/>
                <w:kern w:val="2"/>
                <w:szCs w:val="21"/>
                <w:lang w:eastAsia="zh-CN" w:bidi="ar"/>
              </w:rPr>
            </w:pPr>
            <w:r>
              <w:rPr>
                <w:rFonts w:ascii="仿宋_GB2312" w:hAnsi="仿宋_GB2312" w:eastAsia="仿宋_GB2312" w:cs="仿宋_GB2312"/>
                <w:kern w:val="2"/>
                <w:szCs w:val="21"/>
                <w:lang w:eastAsia="zh-CN" w:bidi="ar"/>
              </w:rPr>
              <w:t>未提供对应方案不得分</w:t>
            </w:r>
          </w:p>
          <w:p>
            <w:pPr>
              <w:spacing w:after="0" w:line="380" w:lineRule="exact"/>
              <w:jc w:val="both"/>
              <w:rPr>
                <w:rFonts w:hint="eastAsia" w:ascii="仿宋_GB2312" w:hAnsi="仿宋_GB2312" w:eastAsia="仿宋_GB2312" w:cs="仿宋_GB2312"/>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4" w:type="dxa"/>
            <w:vAlign w:val="center"/>
          </w:tcPr>
          <w:p>
            <w:pPr>
              <w:pStyle w:val="2"/>
              <w:spacing w:line="380" w:lineRule="exact"/>
              <w:ind w:left="0" w:leftChars="0"/>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技术部分</w:t>
            </w:r>
          </w:p>
        </w:tc>
        <w:tc>
          <w:tcPr>
            <w:tcW w:w="1680" w:type="dxa"/>
            <w:vAlign w:val="center"/>
          </w:tcPr>
          <w:p>
            <w:pPr>
              <w:spacing w:after="0" w:line="38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维护文档体系的完整性和规范性</w:t>
            </w:r>
          </w:p>
        </w:tc>
        <w:tc>
          <w:tcPr>
            <w:tcW w:w="1020"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5</w:t>
            </w:r>
          </w:p>
        </w:tc>
        <w:tc>
          <w:tcPr>
            <w:tcW w:w="4773" w:type="dxa"/>
            <w:vAlign w:val="center"/>
          </w:tcPr>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根据供应商提供详细的维护文档管理办法和流程等进行评分：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优：维护文档管理办法和流程完整、可行、科学、合理的得5分；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良：维护文档管理办法和流程较为完整、可行、科学、合理的得4分；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中：维护文档管理办法和流程基本完整、可行的得3分；</w:t>
            </w:r>
          </w:p>
          <w:p>
            <w:pPr>
              <w:spacing w:after="0" w:line="380" w:lineRule="exact"/>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差：维护文档管理办法和流程不够完整或不可行的得1分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无维护文档管理办法和流程不得分。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4" w:type="dxa"/>
            <w:vAlign w:val="center"/>
          </w:tcPr>
          <w:p>
            <w:pPr>
              <w:pStyle w:val="2"/>
              <w:spacing w:line="380" w:lineRule="exact"/>
              <w:ind w:left="0" w:leftChars="0"/>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技术部分</w:t>
            </w:r>
          </w:p>
        </w:tc>
        <w:tc>
          <w:tcPr>
            <w:tcW w:w="1680" w:type="dxa"/>
            <w:vAlign w:val="center"/>
          </w:tcPr>
          <w:p>
            <w:pPr>
              <w:spacing w:after="0" w:line="38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服务风险及安全保障方案</w:t>
            </w:r>
          </w:p>
        </w:tc>
        <w:tc>
          <w:tcPr>
            <w:tcW w:w="1020"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7</w:t>
            </w:r>
          </w:p>
        </w:tc>
        <w:tc>
          <w:tcPr>
            <w:tcW w:w="4773" w:type="dxa"/>
            <w:vAlign w:val="center"/>
          </w:tcPr>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根据供应商提供的服务工作中的风险进行评估并提出安全保障措施等进行评分：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优：风险评估及安全保障措施科学、合理，可行性强，得7分；</w:t>
            </w:r>
          </w:p>
          <w:p>
            <w:pPr>
              <w:spacing w:after="0" w:line="380" w:lineRule="exact"/>
              <w:ind w:left="1"/>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良：风险评估及安全保障措施较合理，可行，得5分；</w:t>
            </w:r>
          </w:p>
          <w:p>
            <w:pPr>
              <w:spacing w:after="0" w:line="380" w:lineRule="exact"/>
              <w:ind w:left="1"/>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中：风险评估及安全保障措施基本合理，基本可行，得3分；</w:t>
            </w:r>
          </w:p>
          <w:p>
            <w:pPr>
              <w:spacing w:after="0" w:line="380" w:lineRule="exact"/>
              <w:ind w:left="1"/>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差：风险评估及安全保障措施不够合理，或可行性差，得1分；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无风险评估及安全保障措施不得分。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4" w:type="dxa"/>
            <w:vAlign w:val="center"/>
          </w:tcPr>
          <w:p>
            <w:pPr>
              <w:pStyle w:val="2"/>
              <w:spacing w:line="380" w:lineRule="exact"/>
              <w:ind w:left="0" w:leftChars="0"/>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技术部分</w:t>
            </w:r>
          </w:p>
        </w:tc>
        <w:tc>
          <w:tcPr>
            <w:tcW w:w="1680" w:type="dxa"/>
            <w:vAlign w:val="center"/>
          </w:tcPr>
          <w:p>
            <w:pPr>
              <w:spacing w:before="240" w:after="240" w:line="38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投入本项目的技术人员情况</w:t>
            </w:r>
          </w:p>
        </w:tc>
        <w:tc>
          <w:tcPr>
            <w:tcW w:w="1020"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20</w:t>
            </w:r>
          </w:p>
        </w:tc>
        <w:tc>
          <w:tcPr>
            <w:tcW w:w="4773" w:type="dxa"/>
            <w:vAlign w:val="center"/>
          </w:tcPr>
          <w:p>
            <w:pPr>
              <w:spacing w:after="0" w:line="380" w:lineRule="exact"/>
              <w:jc w:val="both"/>
              <w:rPr>
                <w:rFonts w:hint="eastAsia" w:ascii="仿宋_GB2312" w:hAnsi="仿宋_GB2312" w:eastAsia="仿宋_GB2312" w:cs="仿宋_GB2312"/>
                <w:kern w:val="2"/>
                <w:szCs w:val="21"/>
                <w:lang w:eastAsia="zh-CN" w:bidi="ar"/>
              </w:rPr>
            </w:pPr>
            <w:r>
              <w:rPr>
                <w:rFonts w:hint="eastAsia" w:ascii="仿宋_GB2312" w:hAnsi="仿宋_GB2312" w:eastAsia="仿宋_GB2312" w:cs="仿宋_GB2312"/>
                <w:kern w:val="2"/>
                <w:szCs w:val="21"/>
                <w:lang w:eastAsia="zh-CN" w:bidi="ar"/>
              </w:rPr>
              <w:t>1、根据投标人拟投入本项目的技术人员中具有工业和信息化部颁发的信息系统监理师的得5分，没有得0分，本项最高得5分。</w:t>
            </w:r>
          </w:p>
          <w:p>
            <w:pPr>
              <w:spacing w:after="0" w:line="380" w:lineRule="exact"/>
              <w:jc w:val="both"/>
              <w:rPr>
                <w:rFonts w:hint="eastAsia" w:ascii="仿宋_GB2312" w:hAnsi="仿宋_GB2312" w:eastAsia="仿宋_GB2312" w:cs="仿宋_GB2312"/>
                <w:kern w:val="2"/>
                <w:szCs w:val="21"/>
                <w:lang w:eastAsia="zh-CN" w:bidi="ar"/>
              </w:rPr>
            </w:pPr>
            <w:r>
              <w:rPr>
                <w:rFonts w:hint="eastAsia" w:ascii="仿宋_GB2312" w:hAnsi="仿宋_GB2312" w:eastAsia="仿宋_GB2312" w:cs="仿宋_GB2312"/>
                <w:kern w:val="2"/>
                <w:szCs w:val="21"/>
                <w:lang w:eastAsia="zh-CN" w:bidi="ar"/>
              </w:rPr>
              <w:t>2、根据投标人拟投入本项目的技术人员中具有工业和信息化部颁发的系统集成项目管理工程师证书的，每人得5分，没有得0分，本项最高得15分。</w:t>
            </w:r>
          </w:p>
          <w:p>
            <w:pPr>
              <w:spacing w:after="0" w:line="380" w:lineRule="exact"/>
              <w:jc w:val="both"/>
              <w:rPr>
                <w:rFonts w:hint="eastAsia"/>
                <w:lang w:eastAsia="zh-CN" w:bidi="ar"/>
              </w:rPr>
            </w:pPr>
            <w:r>
              <w:rPr>
                <w:rFonts w:ascii="仿宋_GB2312" w:hAnsi="仿宋_GB2312" w:eastAsia="仿宋_GB2312" w:cs="仿宋_GB2312"/>
                <w:kern w:val="2"/>
                <w:szCs w:val="21"/>
                <w:lang w:eastAsia="zh-CN" w:bidi="ar"/>
              </w:rPr>
              <w:t>同一拟投入人员同时具备上述多项不同证书的，不重复、不累计计分，仅计取其中一项得分；本项得分须由不同人员分别持证取得</w:t>
            </w:r>
            <w:r>
              <w:rPr>
                <w:rFonts w:hint="eastAsia" w:ascii="仿宋_GB2312" w:hAnsi="仿宋_GB2312" w:eastAsia="仿宋_GB2312" w:cs="仿宋_GB2312"/>
                <w:kern w:val="2"/>
                <w:szCs w:val="21"/>
                <w:lang w:eastAsia="zh-CN" w:bidi="ar"/>
              </w:rPr>
              <w:t>。</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（须提供加盖公章的资格证书复印件及近三个月内任一月（开标当月不算）缴纳社会保险有效凭证为准）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4" w:type="dxa"/>
            <w:vAlign w:val="center"/>
          </w:tcPr>
          <w:p>
            <w:pPr>
              <w:pStyle w:val="2"/>
              <w:spacing w:line="380" w:lineRule="exact"/>
              <w:ind w:left="0" w:leftChars="0"/>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商务部分</w:t>
            </w:r>
          </w:p>
        </w:tc>
        <w:tc>
          <w:tcPr>
            <w:tcW w:w="1680" w:type="dxa"/>
            <w:vAlign w:val="center"/>
          </w:tcPr>
          <w:p>
            <w:pPr>
              <w:spacing w:after="0" w:line="38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项目实施经验</w:t>
            </w:r>
          </w:p>
        </w:tc>
        <w:tc>
          <w:tcPr>
            <w:tcW w:w="1020"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20</w:t>
            </w:r>
          </w:p>
        </w:tc>
        <w:tc>
          <w:tcPr>
            <w:tcW w:w="4773" w:type="dxa"/>
            <w:vAlign w:val="center"/>
          </w:tcPr>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自2022年1月1日（以合同签订日期为准）投标人具有同类机房服务器设备维护项目的单项合同成功案例，每个项目得2.5分，最多得20分。</w:t>
            </w:r>
          </w:p>
          <w:p>
            <w:pPr>
              <w:spacing w:after="0" w:line="380" w:lineRule="exact"/>
              <w:jc w:val="both"/>
              <w:rPr>
                <w:rFonts w:hint="eastAsia" w:ascii="仿宋_GB2312" w:hAnsi="仿宋_GB2312" w:eastAsia="仿宋_GB2312" w:cs="仿宋_GB2312"/>
                <w:szCs w:val="21"/>
              </w:rPr>
            </w:pPr>
            <w:r>
              <w:rPr>
                <w:rFonts w:hint="eastAsia" w:ascii="仿宋_GB2312" w:hAnsi="仿宋_GB2312" w:eastAsia="仿宋_GB2312" w:cs="仿宋_GB2312"/>
                <w:kern w:val="2"/>
                <w:szCs w:val="21"/>
                <w:lang w:eastAsia="zh-CN" w:bidi="ar"/>
              </w:rPr>
              <w:t>（须提供合同复印件加盖投标人公章。）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4" w:type="dxa"/>
            <w:vAlign w:val="center"/>
          </w:tcPr>
          <w:p>
            <w:pPr>
              <w:pStyle w:val="2"/>
              <w:spacing w:line="380" w:lineRule="exact"/>
              <w:ind w:left="0" w:leftChars="0"/>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商务部分</w:t>
            </w:r>
          </w:p>
        </w:tc>
        <w:tc>
          <w:tcPr>
            <w:tcW w:w="1680" w:type="dxa"/>
            <w:vAlign w:val="center"/>
          </w:tcPr>
          <w:p>
            <w:pPr>
              <w:spacing w:after="0" w:line="38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服务响应</w:t>
            </w:r>
          </w:p>
        </w:tc>
        <w:tc>
          <w:tcPr>
            <w:tcW w:w="1020"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10</w:t>
            </w:r>
          </w:p>
        </w:tc>
        <w:tc>
          <w:tcPr>
            <w:tcW w:w="4773" w:type="dxa"/>
            <w:vAlign w:val="center"/>
          </w:tcPr>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根据供应商提供的服务响应时间承诺进行评分。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1、供应商承诺在接到采购人通知后30分钟内到现场，得10分；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2、供应商承诺在接到采购人通知后1小时内到现场，得6分；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3、供应商承诺在接到采购人通知后2小时内到现场，得2分；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4、其他情况不得分。</w:t>
            </w:r>
          </w:p>
          <w:p>
            <w:pPr>
              <w:spacing w:after="0" w:line="380" w:lineRule="exact"/>
              <w:jc w:val="both"/>
              <w:rPr>
                <w:rFonts w:hint="eastAsia" w:ascii="仿宋_GB2312" w:hAnsi="仿宋_GB2312" w:eastAsia="仿宋_GB2312" w:cs="仿宋_GB2312"/>
                <w:szCs w:val="21"/>
                <w:lang w:eastAsia="zh-CN"/>
              </w:rPr>
            </w:pPr>
            <w:r>
              <w:rPr>
                <w:rFonts w:hint="eastAsia" w:ascii="仿宋_GB2312" w:hAnsi="仿宋_GB2312" w:eastAsia="仿宋_GB2312" w:cs="仿宋_GB2312"/>
                <w:kern w:val="2"/>
                <w:szCs w:val="21"/>
                <w:lang w:eastAsia="zh-CN" w:bidi="ar"/>
              </w:rPr>
              <w:t>（须提供承诺书并加盖供应商公章）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4" w:type="dxa"/>
            <w:vAlign w:val="center"/>
          </w:tcPr>
          <w:p>
            <w:pPr>
              <w:pStyle w:val="2"/>
              <w:spacing w:line="380" w:lineRule="exact"/>
              <w:ind w:left="0" w:leftChars="0"/>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价格得分</w:t>
            </w:r>
          </w:p>
        </w:tc>
        <w:tc>
          <w:tcPr>
            <w:tcW w:w="1680" w:type="dxa"/>
            <w:vAlign w:val="center"/>
          </w:tcPr>
          <w:p>
            <w:pPr>
              <w:pStyle w:val="2"/>
              <w:spacing w:line="380" w:lineRule="exac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服务报价</w:t>
            </w:r>
          </w:p>
        </w:tc>
        <w:tc>
          <w:tcPr>
            <w:tcW w:w="1020" w:type="dxa"/>
            <w:vAlign w:val="center"/>
          </w:tcPr>
          <w:p>
            <w:pPr>
              <w:pStyle w:val="2"/>
              <w:spacing w:line="380" w:lineRule="exact"/>
              <w:ind w:left="0" w:leftChars="0"/>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20</w:t>
            </w:r>
          </w:p>
        </w:tc>
        <w:tc>
          <w:tcPr>
            <w:tcW w:w="4773" w:type="dxa"/>
          </w:tcPr>
          <w:p>
            <w:pPr>
              <w:pStyle w:val="2"/>
              <w:spacing w:line="380" w:lineRule="exact"/>
              <w:ind w:left="0" w:leftChars="0"/>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在满足采购需求且响应报价不超过最高限价的前提下，按价格评审公式计算。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响应报价超过人民币261900.00元最高限价的，按无效响应处理。</w:t>
            </w:r>
          </w:p>
        </w:tc>
      </w:tr>
    </w:tbl>
    <w:p>
      <w:pPr>
        <w:pStyle w:val="2"/>
        <w:ind w:left="0" w:leftChars="0"/>
        <w:rPr>
          <w:rFonts w:hint="eastAsia"/>
          <w:lang w:eastAsia="zh-CN"/>
        </w:rPr>
      </w:pPr>
    </w:p>
    <w:p>
      <w:pPr>
        <w:rPr>
          <w:rFonts w:hint="eastAsia"/>
          <w:lang w:eastAsia="zh-CN"/>
        </w:rPr>
      </w:pPr>
      <w:r>
        <w:rPr>
          <w:lang w:eastAsia="zh-CN"/>
        </w:rPr>
        <w:br w:type="page"/>
      </w:r>
    </w:p>
    <w:p>
      <w:pPr>
        <w:spacing w:line="240" w:lineRule="auto"/>
        <w:rPr>
          <w:rFonts w:hint="eastAsia" w:ascii="黑体" w:hAnsi="黑体" w:eastAsia="黑体" w:cs="CESI黑体-GB2312"/>
          <w:sz w:val="32"/>
          <w:szCs w:val="32"/>
        </w:rPr>
      </w:pPr>
      <w:r>
        <w:rPr>
          <w:rFonts w:hint="eastAsia" w:ascii="黑体" w:hAnsi="黑体" w:eastAsia="黑体" w:cs="CESI黑体-GB2312"/>
          <w:sz w:val="32"/>
          <w:szCs w:val="32"/>
        </w:rPr>
        <w:t>附件1</w:t>
      </w:r>
    </w:p>
    <w:p>
      <w:pPr>
        <w:pStyle w:val="4"/>
        <w:spacing w:before="280" w:after="120"/>
        <w:jc w:val="center"/>
        <w:rPr>
          <w:rFonts w:hint="eastAsia" w:ascii="国标小标宋" w:hAnsi="国标小标宋" w:eastAsia="国标小标宋" w:cs="国标小标宋"/>
          <w:b w:val="0"/>
          <w:bCs w:val="0"/>
          <w:color w:val="auto"/>
          <w:sz w:val="44"/>
          <w:szCs w:val="44"/>
        </w:rPr>
      </w:pPr>
      <w:r>
        <w:rPr>
          <w:rFonts w:hint="eastAsia" w:ascii="国标小标宋" w:hAnsi="国标小标宋" w:eastAsia="国标小标宋" w:cs="国标小标宋"/>
          <w:b w:val="0"/>
          <w:bCs w:val="0"/>
          <w:color w:val="auto"/>
          <w:sz w:val="44"/>
          <w:szCs w:val="44"/>
        </w:rPr>
        <w:t>报价表</w:t>
      </w:r>
    </w:p>
    <w:tbl>
      <w:tblPr>
        <w:tblStyle w:val="4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4"/>
        <w:gridCol w:w="6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4" w:type="dxa"/>
            <w:vAlign w:val="center"/>
          </w:tcPr>
          <w:p>
            <w:pPr>
              <w:spacing w:after="0" w:line="30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tc>
        <w:tc>
          <w:tcPr>
            <w:tcW w:w="6350" w:type="dxa"/>
            <w:vAlign w:val="center"/>
          </w:tcPr>
          <w:p>
            <w:pPr>
              <w:spacing w:after="0" w:line="30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东莞市交通运输局基础设施运维服务项目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4" w:type="dxa"/>
            <w:vAlign w:val="center"/>
          </w:tcPr>
          <w:p>
            <w:pPr>
              <w:spacing w:after="0" w:line="30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服务商名称</w:t>
            </w:r>
          </w:p>
        </w:tc>
        <w:tc>
          <w:tcPr>
            <w:tcW w:w="6350" w:type="dxa"/>
            <w:vAlign w:val="center"/>
          </w:tcPr>
          <w:p>
            <w:pPr>
              <w:spacing w:after="0" w:line="30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6" w:hRule="atLeast"/>
          <w:jc w:val="center"/>
        </w:trPr>
        <w:tc>
          <w:tcPr>
            <w:tcW w:w="2494" w:type="dxa"/>
            <w:vAlign w:val="center"/>
          </w:tcPr>
          <w:p>
            <w:pPr>
              <w:spacing w:after="0" w:line="30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服务总报价（含税）</w:t>
            </w:r>
          </w:p>
        </w:tc>
        <w:tc>
          <w:tcPr>
            <w:tcW w:w="6350" w:type="dxa"/>
            <w:vAlign w:val="center"/>
          </w:tcPr>
          <w:p>
            <w:pPr>
              <w:spacing w:after="0" w:line="30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小写：￥__________ 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大写：____________________________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4" w:type="dxa"/>
            <w:vAlign w:val="center"/>
          </w:tcPr>
          <w:p>
            <w:pPr>
              <w:spacing w:after="0" w:line="30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服务周期</w:t>
            </w:r>
          </w:p>
        </w:tc>
        <w:tc>
          <w:tcPr>
            <w:tcW w:w="6350" w:type="dxa"/>
            <w:vAlign w:val="center"/>
          </w:tcPr>
          <w:p>
            <w:pPr>
              <w:spacing w:after="0" w:line="30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2026年10月1日至2027年9月30日</w:t>
            </w:r>
            <w:bookmarkStart w:id="0" w:name="_GoBack"/>
            <w:bookmarkEnd w:id="0"/>
          </w:p>
        </w:tc>
      </w:tr>
    </w:tbl>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说明：</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1.本次采购采用填报项目总价的方式进行报价，填报时保留小数点后两位；</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2.本报价表是项目需求书确定服务范围内全部服务内容的价格体现，报价应包含项目投入的各项费用及合同实施过程中不可预见费用等；</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3.不提供此表格将被视为没有实质性响应，其响应文件将被拒绝。</w:t>
      </w:r>
    </w:p>
    <w:p>
      <w:pPr>
        <w:spacing w:line="240" w:lineRule="auto"/>
        <w:ind w:firstLine="640" w:firstLineChars="200"/>
        <w:rPr>
          <w:rFonts w:hint="eastAsia" w:ascii="仿宋_GB2312" w:hAnsi="仿宋_GB2312" w:eastAsia="仿宋_GB2312" w:cs="仿宋_GB2312"/>
          <w:sz w:val="32"/>
          <w:szCs w:val="32"/>
          <w:lang w:eastAsia="zh-CN"/>
        </w:rPr>
      </w:pPr>
    </w:p>
    <w:p>
      <w:pPr>
        <w:spacing w:line="240" w:lineRule="auto"/>
        <w:ind w:firstLine="640" w:firstLineChars="200"/>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服务商全称（盖章）：</w:t>
      </w: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服务商代表（签字）：</w:t>
      </w: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日 期：</w:t>
      </w:r>
    </w:p>
    <w:p>
      <w:pPr>
        <w:jc w:val="center"/>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lang w:eastAsia="zh-CN"/>
        </w:rPr>
      </w:pPr>
    </w:p>
    <w:p>
      <w:pPr>
        <w:pStyle w:val="2"/>
        <w:rPr>
          <w:rFonts w:hint="eastAsia"/>
          <w:lang w:eastAsia="zh-CN"/>
        </w:rPr>
      </w:pPr>
    </w:p>
    <w:p>
      <w:pPr>
        <w:jc w:val="center"/>
        <w:rPr>
          <w:rFonts w:hint="eastAsia" w:ascii="仿宋_GB2312" w:hAnsi="仿宋_GB2312" w:eastAsia="仿宋_GB2312" w:cs="仿宋_GB2312"/>
          <w:sz w:val="32"/>
          <w:szCs w:val="32"/>
          <w:lang w:eastAsia="zh-CN"/>
        </w:rPr>
      </w:pPr>
    </w:p>
    <w:p>
      <w:pPr>
        <w:spacing w:line="240" w:lineRule="auto"/>
        <w:rPr>
          <w:rFonts w:hint="eastAsia" w:ascii="黑体" w:hAnsi="黑体" w:eastAsia="黑体" w:cs="CESI黑体-GB2312"/>
          <w:sz w:val="32"/>
          <w:szCs w:val="32"/>
          <w:lang w:eastAsia="zh-CN"/>
        </w:rPr>
      </w:pPr>
      <w:r>
        <w:rPr>
          <w:rFonts w:hint="eastAsia" w:ascii="黑体" w:hAnsi="黑体" w:eastAsia="黑体" w:cs="CESI黑体-GB2312"/>
          <w:sz w:val="32"/>
          <w:szCs w:val="32"/>
          <w:lang w:eastAsia="zh-CN"/>
        </w:rPr>
        <w:t>附件2</w:t>
      </w:r>
    </w:p>
    <w:p>
      <w:pPr>
        <w:pStyle w:val="4"/>
        <w:spacing w:before="280" w:after="120"/>
        <w:jc w:val="center"/>
        <w:rPr>
          <w:rFonts w:hint="eastAsia" w:ascii="国标小标宋" w:hAnsi="国标小标宋" w:eastAsia="国标小标宋" w:cs="国标小标宋"/>
          <w:b w:val="0"/>
          <w:bCs w:val="0"/>
          <w:color w:val="auto"/>
          <w:sz w:val="44"/>
          <w:szCs w:val="44"/>
          <w:lang w:eastAsia="zh-CN"/>
        </w:rPr>
      </w:pPr>
      <w:r>
        <w:rPr>
          <w:rFonts w:hint="eastAsia" w:ascii="国标小标宋" w:hAnsi="国标小标宋" w:eastAsia="国标小标宋" w:cs="国标小标宋"/>
          <w:b w:val="0"/>
          <w:bCs w:val="0"/>
          <w:color w:val="auto"/>
          <w:sz w:val="44"/>
          <w:szCs w:val="44"/>
          <w:lang w:eastAsia="zh-CN"/>
        </w:rPr>
        <w:t>资格条件承诺函</w:t>
      </w:r>
    </w:p>
    <w:p>
      <w:pPr>
        <w:spacing w:line="240" w:lineRule="auto"/>
        <w:ind w:firstLine="640" w:firstLineChars="200"/>
        <w:rPr>
          <w:rFonts w:hint="eastAsia" w:ascii="仿宋_GB2312" w:hAnsi="仿宋_GB2312" w:eastAsia="仿宋_GB2312" w:cs="仿宋_GB2312"/>
          <w:sz w:val="32"/>
          <w:szCs w:val="32"/>
          <w:lang w:eastAsia="zh-CN"/>
        </w:rPr>
      </w:pPr>
    </w:p>
    <w:p>
      <w:pPr>
        <w:spacing w:line="24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东莞市交通运输局：</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我方参加</w:t>
      </w:r>
      <w:r>
        <w:rPr>
          <w:rFonts w:hint="eastAsia" w:ascii="仿宋_GB2312" w:hAnsi="仿宋_GB2312" w:eastAsia="仿宋_GB2312" w:cs="仿宋_GB2312"/>
          <w:sz w:val="32"/>
          <w:szCs w:val="32"/>
          <w:u w:val="single"/>
          <w:lang w:eastAsia="zh-CN"/>
        </w:rPr>
        <w:t>东莞市交通运输局基础设施运维服务项目</w:t>
      </w:r>
      <w:r>
        <w:rPr>
          <w:rFonts w:hint="eastAsia" w:ascii="仿宋_GB2312" w:hAnsi="仿宋_GB2312" w:eastAsia="仿宋_GB2312" w:cs="仿宋_GB2312"/>
          <w:sz w:val="32"/>
          <w:szCs w:val="32"/>
          <w:lang w:eastAsia="zh-CN"/>
        </w:rPr>
        <w:t>采购，现郑重承诺，参加本次政府采购活动前三年内：</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我方符合《中华人民共和国政府采购法》第22条规定的资格条件，即：（1）我方具有独立承担民事责任的能力；（2）我方具有良好的商业信誉和健全的财务会计制度；（3）我方具有履行合同所必需的设备和专业技术能力；（4）我方有依法缴纳税收和社会保障资金的良好记录；（5）我方参加本次政府采购活动前3年内在经营活动中没有重大违法记录（没有因违法经营受到刑事处罚，没有被责令停产停业、被吊销许可证或者执照、被处以较大数额罚款等行政处罚，没有因违法经营被禁止参加政府采购活动的期限未满情形）。</w:t>
      </w:r>
    </w:p>
    <w:p>
      <w:p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2.到本项目采购截止时间为止，我方未被“信用中国”（www.creditchina.gov.cn）、中国政府采购网（www.ccgp.gov.cn）列入失信被执行人名单、重大税收违法案件当事人名单、政府采购严重违法失信行为记录名单。</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3.我方与参加本次项目同一合同项下政府采购活动的其他服务商不存在单位负责人为同一人或者直接控股、管理关系。</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4.我方不属于公益一类事业单位。</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以上承诺如有虚假，愿接受取消我方任何资格（投标/成交/签订合同）及其他任何形式的处理。</w:t>
      </w:r>
    </w:p>
    <w:p>
      <w:pPr>
        <w:spacing w:line="240" w:lineRule="auto"/>
        <w:ind w:firstLine="640" w:firstLineChars="200"/>
        <w:rPr>
          <w:rFonts w:hint="eastAsia" w:ascii="仿宋_GB2312" w:hAnsi="仿宋_GB2312" w:eastAsia="仿宋_GB2312" w:cs="仿宋_GB2312"/>
          <w:sz w:val="32"/>
          <w:szCs w:val="32"/>
          <w:lang w:eastAsia="zh-CN"/>
        </w:rPr>
      </w:pPr>
    </w:p>
    <w:p>
      <w:pPr>
        <w:spacing w:line="240" w:lineRule="auto"/>
        <w:ind w:firstLine="640" w:firstLineChars="20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服务商全称（盖章）：</w:t>
      </w:r>
    </w:p>
    <w:p>
      <w:pPr>
        <w:spacing w:line="240" w:lineRule="auto"/>
        <w:ind w:firstLine="640" w:firstLineChars="20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法定代表人或其授权代表（签字或盖章）：</w:t>
      </w:r>
    </w:p>
    <w:p>
      <w:pPr>
        <w:spacing w:line="240" w:lineRule="auto"/>
        <w:ind w:firstLine="640" w:firstLineChars="20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日期：     年   月   日</w:t>
      </w:r>
    </w:p>
    <w:p>
      <w:pPr>
        <w:spacing w:line="240" w:lineRule="auto"/>
        <w:rPr>
          <w:rFonts w:hint="eastAsia" w:ascii="黑体" w:hAnsi="黑体" w:eastAsia="黑体" w:cs="CESI黑体-GB2312"/>
          <w:sz w:val="32"/>
          <w:szCs w:val="32"/>
          <w:lang w:eastAsia="zh-CN"/>
        </w:rPr>
      </w:pPr>
      <w:r>
        <w:rPr>
          <w:rFonts w:hint="eastAsia" w:ascii="黑体" w:hAnsi="黑体" w:eastAsia="黑体" w:cs="CESI黑体-GB2312"/>
          <w:sz w:val="32"/>
          <w:szCs w:val="32"/>
          <w:lang w:eastAsia="zh-CN"/>
        </w:rPr>
        <w:t>附件3</w:t>
      </w:r>
    </w:p>
    <w:p>
      <w:pPr>
        <w:pStyle w:val="4"/>
        <w:spacing w:before="280" w:after="120"/>
        <w:jc w:val="center"/>
        <w:rPr>
          <w:rFonts w:hint="eastAsia" w:ascii="国标小标宋" w:hAnsi="国标小标宋" w:eastAsia="国标小标宋" w:cs="国标小标宋"/>
          <w:b w:val="0"/>
          <w:bCs w:val="0"/>
          <w:color w:val="auto"/>
          <w:sz w:val="44"/>
          <w:szCs w:val="44"/>
          <w:lang w:eastAsia="zh-CN"/>
        </w:rPr>
      </w:pPr>
      <w:r>
        <w:rPr>
          <w:rFonts w:hint="eastAsia" w:ascii="国标小标宋" w:hAnsi="国标小标宋" w:eastAsia="国标小标宋" w:cs="国标小标宋"/>
          <w:b w:val="0"/>
          <w:bCs w:val="0"/>
          <w:color w:val="auto"/>
          <w:sz w:val="44"/>
          <w:szCs w:val="44"/>
          <w:lang w:eastAsia="zh-CN"/>
        </w:rPr>
        <w:t>法定代表人授权书</w:t>
      </w:r>
    </w:p>
    <w:p>
      <w:pPr>
        <w:spacing w:line="24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东莞市交通运输局：</w:t>
      </w:r>
    </w:p>
    <w:p>
      <w:pPr>
        <w:spacing w:line="240" w:lineRule="auto"/>
        <w:ind w:firstLine="440" w:firstLineChars="200"/>
        <w:rPr>
          <w:rFonts w:hint="eastAsia" w:ascii="仿宋_GB2312" w:hAnsi="仿宋_GB2312" w:eastAsia="仿宋_GB2312" w:cs="仿宋_GB2312"/>
          <w:sz w:val="32"/>
          <w:szCs w:val="32"/>
          <w:lang w:eastAsia="zh-CN"/>
        </w:rPr>
      </w:pPr>
      <w:r>
        <w:rPr>
          <w:color w:val="000000"/>
          <w:sz w:val="22"/>
          <w:u w:val="single"/>
          <w:lang w:eastAsia="zh-CN"/>
        </w:rPr>
        <w:t xml:space="preserve">             </w:t>
      </w:r>
      <w:r>
        <w:rPr>
          <w:rFonts w:hint="eastAsia"/>
          <w:color w:val="000000"/>
          <w:sz w:val="22"/>
          <w:u w:val="single"/>
          <w:lang w:eastAsia="zh-CN"/>
        </w:rPr>
        <w:t xml:space="preserve">      </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lang w:eastAsia="zh-CN"/>
        </w:rPr>
        <w:t>服务商全称）法定代表人</w:t>
      </w:r>
      <w:r>
        <w:rPr>
          <w:color w:val="000000"/>
          <w:sz w:val="22"/>
          <w:u w:val="single"/>
          <w:lang w:eastAsia="zh-CN"/>
        </w:rPr>
        <w:t xml:space="preserve">          </w:t>
      </w:r>
      <w:r>
        <w:rPr>
          <w:rFonts w:hint="eastAsia"/>
          <w:color w:val="000000"/>
          <w:sz w:val="22"/>
          <w:u w:val="single"/>
          <w:lang w:eastAsia="zh-CN"/>
        </w:rPr>
        <w:t xml:space="preserve">       </w:t>
      </w:r>
      <w:r>
        <w:rPr>
          <w:rFonts w:hint="eastAsia" w:ascii="仿宋_GB2312" w:hAnsi="仿宋_GB2312" w:eastAsia="仿宋_GB2312" w:cs="仿宋_GB2312"/>
          <w:sz w:val="32"/>
          <w:szCs w:val="32"/>
          <w:lang w:eastAsia="zh-CN"/>
        </w:rPr>
        <w:t>授权</w:t>
      </w:r>
      <w:r>
        <w:rPr>
          <w:color w:val="000000"/>
          <w:sz w:val="22"/>
          <w:u w:val="single"/>
          <w:lang w:eastAsia="zh-CN"/>
        </w:rPr>
        <w:t xml:space="preserve">         </w:t>
      </w:r>
      <w:r>
        <w:rPr>
          <w:rFonts w:hint="eastAsia"/>
          <w:color w:val="000000"/>
          <w:sz w:val="22"/>
          <w:u w:val="single"/>
          <w:lang w:eastAsia="zh-CN"/>
        </w:rPr>
        <w:t xml:space="preserve">       </w:t>
      </w:r>
      <w:r>
        <w:rPr>
          <w:rFonts w:hint="eastAsia" w:ascii="仿宋_GB2312" w:hAnsi="仿宋_GB2312" w:eastAsia="仿宋_GB2312" w:cs="仿宋_GB2312"/>
          <w:sz w:val="32"/>
          <w:szCs w:val="32"/>
          <w:lang w:eastAsia="zh-CN"/>
        </w:rPr>
        <w:t>（全权代表姓名）为全权代表，参加贵局组织的</w:t>
      </w:r>
      <w:r>
        <w:rPr>
          <w:rFonts w:hint="eastAsia" w:ascii="仿宋_GB2312" w:hAnsi="仿宋_GB2312" w:eastAsia="仿宋_GB2312" w:cs="仿宋_GB2312"/>
          <w:sz w:val="32"/>
          <w:szCs w:val="32"/>
          <w:u w:val="single"/>
          <w:lang w:eastAsia="zh-CN"/>
        </w:rPr>
        <w:t>东莞市交通运输局基础设施运维服务项目</w:t>
      </w:r>
      <w:r>
        <w:rPr>
          <w:rFonts w:hint="eastAsia" w:ascii="仿宋_GB2312" w:hAnsi="仿宋_GB2312" w:eastAsia="仿宋_GB2312" w:cs="仿宋_GB2312"/>
          <w:sz w:val="32"/>
          <w:szCs w:val="32"/>
          <w:lang w:eastAsia="zh-CN"/>
        </w:rPr>
        <w:t>采购活动，全权代表我方处理采购活动中的一切事宜。</w:t>
      </w:r>
    </w:p>
    <w:p>
      <w:pPr>
        <w:spacing w:line="240" w:lineRule="auto"/>
        <w:ind w:firstLine="640" w:firstLineChars="200"/>
        <w:rPr>
          <w:rFonts w:hint="eastAsia" w:ascii="仿宋_GB2312" w:hAnsi="仿宋_GB2312" w:eastAsia="仿宋_GB2312" w:cs="仿宋_GB2312"/>
          <w:sz w:val="32"/>
          <w:szCs w:val="32"/>
          <w:lang w:eastAsia="zh-CN"/>
        </w:rPr>
      </w:pPr>
    </w:p>
    <w:p>
      <w:pPr>
        <w:spacing w:line="240" w:lineRule="auto"/>
        <w:ind w:firstLine="640" w:firstLineChars="20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法定代表人（签字或盖章）：</w:t>
      </w:r>
    </w:p>
    <w:p>
      <w:pPr>
        <w:spacing w:line="240" w:lineRule="auto"/>
        <w:ind w:firstLine="640" w:firstLineChars="20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服务商全称（公章）：</w:t>
      </w:r>
    </w:p>
    <w:p>
      <w:pPr>
        <w:spacing w:line="240" w:lineRule="auto"/>
        <w:ind w:firstLine="640" w:firstLineChars="20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日 期：</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授权代表姓名：</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职务：</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详细通讯地址：</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p>
      <w:p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p>
      <w:pPr>
        <w:spacing w:line="240" w:lineRule="auto"/>
        <w:ind w:firstLine="640" w:firstLineChars="200"/>
        <w:rPr>
          <w:rFonts w:hint="eastAsia"/>
        </w:rPr>
      </w:pPr>
      <w:r>
        <w:rPr>
          <w:rFonts w:hint="eastAsia" w:ascii="仿宋_GB2312" w:hAnsi="仿宋_GB2312" w:eastAsia="仿宋_GB2312" w:cs="仿宋_GB2312"/>
          <w:sz w:val="32"/>
          <w:szCs w:val="32"/>
        </w:rPr>
        <w:t>邮政编码：</w:t>
      </w:r>
      <w:r>
        <w:rPr>
          <w:color w:val="000000"/>
          <w:sz w:val="22"/>
          <w:u w:val="single"/>
        </w:rPr>
        <w:t xml:space="preserve">         </w:t>
      </w:r>
      <w:r>
        <w:rPr>
          <w:rFonts w:hint="eastAsia"/>
          <w:color w:val="000000"/>
          <w:sz w:val="22"/>
          <w:u w:val="single"/>
          <w:lang w:eastAsia="zh-CN"/>
        </w:rPr>
        <w:t xml:space="preserve">       </w:t>
      </w:r>
      <w:r>
        <w:rPr>
          <w:color w:val="000000"/>
          <w:sz w:val="22"/>
        </w:rPr>
        <mc:AlternateContent>
          <mc:Choice Requires="wps">
            <w:drawing>
              <wp:anchor distT="0" distB="0" distL="114300" distR="114300" simplePos="0" relativeHeight="251660288" behindDoc="0" locked="0" layoutInCell="1" allowOverlap="1">
                <wp:simplePos x="0" y="0"/>
                <wp:positionH relativeFrom="column">
                  <wp:posOffset>56515</wp:posOffset>
                </wp:positionH>
                <wp:positionV relativeFrom="paragraph">
                  <wp:posOffset>499110</wp:posOffset>
                </wp:positionV>
                <wp:extent cx="5800090" cy="2431415"/>
                <wp:effectExtent l="5080" t="4445" r="5080" b="21590"/>
                <wp:wrapNone/>
                <wp:docPr id="1029" name="矩形 1029"/>
                <wp:cNvGraphicFramePr/>
                <a:graphic xmlns:a="http://schemas.openxmlformats.org/drawingml/2006/main">
                  <a:graphicData uri="http://schemas.microsoft.com/office/word/2010/wordprocessingShape">
                    <wps:wsp>
                      <wps:cNvSpPr/>
                      <wps:spPr>
                        <a:xfrm>
                          <a:off x="0" y="0"/>
                          <a:ext cx="5800090" cy="24314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lang w:eastAsia="zh-CN"/>
                              </w:rPr>
                            </w:pPr>
                            <w:r>
                              <w:rPr>
                                <w:rFonts w:hint="eastAsia" w:ascii="新宋体" w:hAnsi="新宋体" w:eastAsia="新宋体"/>
                                <w:sz w:val="22"/>
                                <w:lang w:eastAsia="zh-CN"/>
                              </w:rPr>
                              <w:t>授权代表身份证（正反面）：</w:t>
                            </w:r>
                          </w:p>
                        </w:txbxContent>
                      </wps:txbx>
                      <wps:bodyPr upright="true"/>
                    </wps:wsp>
                  </a:graphicData>
                </a:graphic>
              </wp:anchor>
            </w:drawing>
          </mc:Choice>
          <mc:Fallback>
            <w:pict>
              <v:rect id="_x0000_s1026" o:spid="_x0000_s1026" o:spt="1" style="position:absolute;left:0pt;margin-left:4.45pt;margin-top:39.3pt;height:191.45pt;width:456.7pt;z-index:251660288;mso-width-relative:page;mso-height-relative:page;" fillcolor="#FFFFFF" filled="t" stroked="t" coordsize="21600,21600" o:gfxdata="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DfaB8G1wAAAAgBAAAPAAAAAAAAAAEAIAAAADgAAABk&#10;cnMvZG93bnJldi54bWxQSwECFAAUAAAACACHTuJAPfpGzPEBAADzAwAADgAAAAAAAAABACAAAAA8&#10;AQAAZHJzL2Uyb0RvYy54bWxQSwUGAAAAAAYABgBZAQAAnwUAAAAA&#10;">
                <v:fill on="t" focussize="0,0"/>
                <v:stroke color="#000000" joinstyle="miter"/>
                <v:imagedata o:title=""/>
                <o:lock v:ext="edit" aspectratio="f"/>
                <v:textbox>
                  <w:txbxContent>
                    <w:p>
                      <w:pPr>
                        <w:rPr>
                          <w:rFonts w:hint="eastAsia"/>
                          <w:lang w:eastAsia="zh-CN"/>
                        </w:rPr>
                      </w:pPr>
                      <w:r>
                        <w:rPr>
                          <w:rFonts w:hint="eastAsia" w:ascii="新宋体" w:hAnsi="新宋体" w:eastAsia="新宋体"/>
                          <w:sz w:val="22"/>
                          <w:lang w:eastAsia="zh-CN"/>
                        </w:rPr>
                        <w:t>授权代表身份证（正反面）：</w:t>
                      </w:r>
                    </w:p>
                  </w:txbxContent>
                </v:textbox>
              </v:rect>
            </w:pict>
          </mc:Fallback>
        </mc:AlternateContent>
      </w:r>
    </w:p>
    <w:sectPr>
      <w:footerReference r:id="rId5" w:type="default"/>
      <w:pgSz w:w="11906" w:h="16838"/>
      <w:pgMar w:top="1440" w:right="1440" w:bottom="1440" w:left="1440" w:header="709" w:footer="709"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ingFang SC">
    <w:altName w:val="汉仪新人文宋简"/>
    <w:panose1 w:val="00000000000000000000"/>
    <w:charset w:val="86"/>
    <w:family w:val="auto"/>
    <w:pitch w:val="default"/>
    <w:sig w:usb0="00000000" w:usb1="00000000" w:usb2="00000017" w:usb3="00000000" w:csb0="00040001" w:csb1="00000000"/>
  </w:font>
  <w:font w:name="ＭＳ ゴシック">
    <w:altName w:val="URW Bookman"/>
    <w:panose1 w:val="00000000000000000000"/>
    <w:charset w:val="00"/>
    <w:family w:val="auto"/>
    <w:pitch w:val="default"/>
    <w:sig w:usb0="00000000" w:usb1="00000000" w:usb2="00000000" w:usb3="00000000" w:csb0="00000000" w:csb1="00000000"/>
  </w:font>
  <w:font w:name="Courier">
    <w:altName w:val="Noto Sans Mono"/>
    <w:panose1 w:val="02070409020205020404"/>
    <w:charset w:val="00"/>
    <w:family w:val="auto"/>
    <w:pitch w:val="default"/>
    <w:sig w:usb0="00000000" w:usb1="00000000" w:usb2="00000000" w:usb3="00000000" w:csb0="00000001" w:csb1="00000000"/>
  </w:font>
  <w:font w:name="ＭＳ 明朝">
    <w:altName w:val="URW Bookman"/>
    <w:panose1 w:val="00000000000000000000"/>
    <w:charset w:val="00"/>
    <w:family w:val="auto"/>
    <w:pitch w:val="default"/>
    <w:sig w:usb0="00000000" w:usb1="00000000" w:usb2="00000000" w:usb3="00000000" w:csb0="00000000" w:csb1="00000000"/>
  </w:font>
  <w:font w:name="Courier New">
    <w:altName w:val="DejaVu Sans"/>
    <w:panose1 w:val="02070309020205020404"/>
    <w:charset w:val="00"/>
    <w:family w:val="modern"/>
    <w:pitch w:val="default"/>
    <w:sig w:usb0="00000000" w:usb1="00000000" w:usb2="00000009" w:usb3="00000000" w:csb0="000001FF" w:csb1="00000000"/>
  </w:font>
  <w:font w:name="Arial">
    <w:altName w:val="DejaVu Sans"/>
    <w:panose1 w:val="020B0604020202020204"/>
    <w:charset w:val="00"/>
    <w:family w:val="swiss"/>
    <w:pitch w:val="default"/>
    <w:sig w:usb0="00000000" w:usb1="00000000" w:usb2="00000009" w:usb3="00000000" w:csb0="000001FF" w:csb1="00000000"/>
  </w:font>
  <w:font w:name="??">
    <w:altName w:val="汉仪新人文宋简"/>
    <w:panose1 w:val="00000000000000000000"/>
    <w:charset w:val="00"/>
    <w:family w:val="auto"/>
    <w:pitch w:val="default"/>
    <w:sig w:usb0="00000000" w:usb1="00000000" w:usb2="00000000" w:usb3="00000000" w:csb0="00040001" w:csb1="00000000"/>
  </w:font>
  <w:font w:name="Cambria">
    <w:altName w:val="Noto Sans Syriac Eastern"/>
    <w:panose1 w:val="02040503050406030204"/>
    <w:charset w:val="00"/>
    <w:family w:val="roman"/>
    <w:pitch w:val="default"/>
    <w:sig w:usb0="00000000" w:usb1="00000000" w:usb2="02000000"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国标小标宋">
    <w:panose1 w:val="02000500000000000000"/>
    <w:charset w:val="86"/>
    <w:family w:val="auto"/>
    <w:pitch w:val="default"/>
    <w:sig w:usb0="00000001" w:usb1="08000000" w:usb2="00000000" w:usb3="00000000" w:csb0="00060007" w:csb1="00000000"/>
  </w:font>
  <w:font w:name="国标黑体">
    <w:panose1 w:val="020005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ESI黑体-GB2312">
    <w:panose1 w:val="02000500000000000000"/>
    <w:charset w:val="86"/>
    <w:family w:val="auto"/>
    <w:pitch w:val="default"/>
    <w:sig w:usb0="800002BF" w:usb1="184F6CF8" w:usb2="00000012" w:usb3="00000000" w:csb0="0004000F" w:csb1="00000000"/>
  </w:font>
  <w:font w:name="新宋体">
    <w:altName w:val="方正书宋_GBK"/>
    <w:panose1 w:val="0201060903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汉仪新人文宋简">
    <w:panose1 w:val="00020600040101010101"/>
    <w:charset w:val="86"/>
    <w:family w:val="auto"/>
    <w:pitch w:val="default"/>
    <w:sig w:usb0="A00002BF" w:usb1="1ACF7CFA" w:usb2="00000016" w:usb3="00000000" w:csb0="0004009F" w:csb1="DFD7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Mono">
    <w:panose1 w:val="020B0509040504020204"/>
    <w:charset w:val="00"/>
    <w:family w:val="auto"/>
    <w:pitch w:val="default"/>
    <w:sig w:usb0="E00002FF" w:usb1="4200FCFF" w:usb2="08000039" w:usb3="00100000" w:csb0="0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31"/>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7"/>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30"/>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5"/>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7"/>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true"/>
  <w:bordersDoNotSurroundHeader w:val="true"/>
  <w:bordersDoNotSurroundFooter w:val="true"/>
  <w:documentProtection w:enforcement="0"/>
  <w:defaultTabStop w:val="720"/>
  <w:noPunctuationKerning w:val="true"/>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5D06"/>
    <w:rsid w:val="0006063C"/>
    <w:rsid w:val="000F22E8"/>
    <w:rsid w:val="00125430"/>
    <w:rsid w:val="0015074B"/>
    <w:rsid w:val="00204914"/>
    <w:rsid w:val="00287714"/>
    <w:rsid w:val="0029639D"/>
    <w:rsid w:val="00326F90"/>
    <w:rsid w:val="0034694E"/>
    <w:rsid w:val="004210C3"/>
    <w:rsid w:val="004518B8"/>
    <w:rsid w:val="00517545"/>
    <w:rsid w:val="0059227A"/>
    <w:rsid w:val="00595A6A"/>
    <w:rsid w:val="006A2821"/>
    <w:rsid w:val="00744DDE"/>
    <w:rsid w:val="00746EE9"/>
    <w:rsid w:val="007C0A9D"/>
    <w:rsid w:val="007C3E08"/>
    <w:rsid w:val="007D1D5F"/>
    <w:rsid w:val="00826B3C"/>
    <w:rsid w:val="0089182E"/>
    <w:rsid w:val="009029F2"/>
    <w:rsid w:val="00943A5A"/>
    <w:rsid w:val="00AA1D8D"/>
    <w:rsid w:val="00AA5101"/>
    <w:rsid w:val="00AD406D"/>
    <w:rsid w:val="00B47730"/>
    <w:rsid w:val="00B67703"/>
    <w:rsid w:val="00B876F8"/>
    <w:rsid w:val="00BA0BBD"/>
    <w:rsid w:val="00BC271A"/>
    <w:rsid w:val="00C23BA2"/>
    <w:rsid w:val="00CA6CFA"/>
    <w:rsid w:val="00CB0664"/>
    <w:rsid w:val="00D16B6A"/>
    <w:rsid w:val="00D719AD"/>
    <w:rsid w:val="00D755FA"/>
    <w:rsid w:val="00D938C7"/>
    <w:rsid w:val="00E52F5B"/>
    <w:rsid w:val="00E60A1E"/>
    <w:rsid w:val="00EA581B"/>
    <w:rsid w:val="00F311DB"/>
    <w:rsid w:val="00F43A6E"/>
    <w:rsid w:val="00FC693F"/>
    <w:rsid w:val="05BDBFE0"/>
    <w:rsid w:val="0DF3DE0E"/>
    <w:rsid w:val="16FC8D56"/>
    <w:rsid w:val="1DF71C70"/>
    <w:rsid w:val="1F9961AA"/>
    <w:rsid w:val="1FD971EA"/>
    <w:rsid w:val="1FD99E38"/>
    <w:rsid w:val="295FE943"/>
    <w:rsid w:val="37F36B1E"/>
    <w:rsid w:val="3BFE68FE"/>
    <w:rsid w:val="3C2FCC04"/>
    <w:rsid w:val="3D353C54"/>
    <w:rsid w:val="3FAC6170"/>
    <w:rsid w:val="3FDE38EC"/>
    <w:rsid w:val="3FFFE9DD"/>
    <w:rsid w:val="42FE364A"/>
    <w:rsid w:val="47F5B5E1"/>
    <w:rsid w:val="4E7F6B57"/>
    <w:rsid w:val="4F7F278E"/>
    <w:rsid w:val="4FE7A08A"/>
    <w:rsid w:val="59BED0B0"/>
    <w:rsid w:val="5AFFA6AD"/>
    <w:rsid w:val="5CA54DE4"/>
    <w:rsid w:val="5EEF4EE6"/>
    <w:rsid w:val="5FFBC241"/>
    <w:rsid w:val="65FD59E4"/>
    <w:rsid w:val="664BCE90"/>
    <w:rsid w:val="66A7AA1A"/>
    <w:rsid w:val="677F63A9"/>
    <w:rsid w:val="67B862E9"/>
    <w:rsid w:val="67F71FF7"/>
    <w:rsid w:val="6B5CBCA7"/>
    <w:rsid w:val="6FBF08A8"/>
    <w:rsid w:val="6FEDEF29"/>
    <w:rsid w:val="701F1403"/>
    <w:rsid w:val="76BBBF29"/>
    <w:rsid w:val="777BD2FA"/>
    <w:rsid w:val="77BCE104"/>
    <w:rsid w:val="77CB6912"/>
    <w:rsid w:val="79F79336"/>
    <w:rsid w:val="79F9562A"/>
    <w:rsid w:val="7AC7EBBE"/>
    <w:rsid w:val="7AFBB794"/>
    <w:rsid w:val="7B43D24A"/>
    <w:rsid w:val="7B570A5C"/>
    <w:rsid w:val="7C75E337"/>
    <w:rsid w:val="7D1FB6A1"/>
    <w:rsid w:val="7DDF70BA"/>
    <w:rsid w:val="7DEDF972"/>
    <w:rsid w:val="7DEF8AB3"/>
    <w:rsid w:val="7EE584B9"/>
    <w:rsid w:val="7FA36C3A"/>
    <w:rsid w:val="7FB7D680"/>
    <w:rsid w:val="7FF151D9"/>
    <w:rsid w:val="96EB4445"/>
    <w:rsid w:val="9BEF0DBF"/>
    <w:rsid w:val="9D8F6159"/>
    <w:rsid w:val="9FB70617"/>
    <w:rsid w:val="A5FF72CA"/>
    <w:rsid w:val="A7DFCA9D"/>
    <w:rsid w:val="A7EE61E0"/>
    <w:rsid w:val="A9D72FFA"/>
    <w:rsid w:val="B2A63C63"/>
    <w:rsid w:val="B3FF24C0"/>
    <w:rsid w:val="B5A174C4"/>
    <w:rsid w:val="B7B3105E"/>
    <w:rsid w:val="BAAFBC72"/>
    <w:rsid w:val="BBBE1745"/>
    <w:rsid w:val="BDD64030"/>
    <w:rsid w:val="BEDF8881"/>
    <w:rsid w:val="BF299940"/>
    <w:rsid w:val="BF6E9BEE"/>
    <w:rsid w:val="BFCF5AB8"/>
    <w:rsid w:val="C057FDEA"/>
    <w:rsid w:val="C6F06C0D"/>
    <w:rsid w:val="D0FD8C6D"/>
    <w:rsid w:val="D4FB9538"/>
    <w:rsid w:val="D50F1E5A"/>
    <w:rsid w:val="D6D72D89"/>
    <w:rsid w:val="D8FEFAC4"/>
    <w:rsid w:val="DEE59820"/>
    <w:rsid w:val="E9FE4493"/>
    <w:rsid w:val="EBE90D29"/>
    <w:rsid w:val="EDCB478E"/>
    <w:rsid w:val="EEDFAFE4"/>
    <w:rsid w:val="EFE6C993"/>
    <w:rsid w:val="EFF90765"/>
    <w:rsid w:val="F67D6386"/>
    <w:rsid w:val="F67DFFF8"/>
    <w:rsid w:val="F7CDFEF5"/>
    <w:rsid w:val="FAFEF0C0"/>
    <w:rsid w:val="FB1A7AD1"/>
    <w:rsid w:val="FD7F3385"/>
    <w:rsid w:val="FDAF3E5A"/>
    <w:rsid w:val="FDEFB2D5"/>
    <w:rsid w:val="FDF7DE48"/>
    <w:rsid w:val="FDFC4741"/>
    <w:rsid w:val="FDFE8478"/>
    <w:rsid w:val="FE2BABCA"/>
    <w:rsid w:val="FF56430A"/>
    <w:rsid w:val="FF9FD786"/>
    <w:rsid w:val="FFF90C8C"/>
    <w:rsid w:val="FFFF890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120" w:line="276" w:lineRule="auto"/>
    </w:pPr>
    <w:rPr>
      <w:rFonts w:ascii="PingFang SC" w:hAnsi="PingFang SC" w:eastAsia="PingFang SC" w:cstheme="minorBidi"/>
      <w:color w:val="1F1F1F"/>
      <w:sz w:val="21"/>
      <w:szCs w:val="22"/>
      <w:lang w:val="en-US" w:eastAsia="en-US" w:bidi="ar-SA"/>
    </w:rPr>
  </w:style>
  <w:style w:type="paragraph" w:styleId="4">
    <w:name w:val="heading 1"/>
    <w:basedOn w:val="1"/>
    <w:next w:val="1"/>
    <w:link w:val="145"/>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5">
    <w:name w:val="heading 2"/>
    <w:basedOn w:val="1"/>
    <w:next w:val="1"/>
    <w:link w:val="146"/>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6">
    <w:name w:val="heading 3"/>
    <w:basedOn w:val="1"/>
    <w:next w:val="1"/>
    <w:link w:val="147"/>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7">
    <w:name w:val="heading 4"/>
    <w:basedOn w:val="1"/>
    <w:next w:val="1"/>
    <w:link w:val="157"/>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8">
    <w:name w:val="heading 5"/>
    <w:basedOn w:val="1"/>
    <w:next w:val="1"/>
    <w:link w:val="158"/>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9">
    <w:name w:val="heading 6"/>
    <w:basedOn w:val="1"/>
    <w:next w:val="1"/>
    <w:link w:val="159"/>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0">
    <w:name w:val="heading 7"/>
    <w:basedOn w:val="1"/>
    <w:next w:val="1"/>
    <w:link w:val="160"/>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1">
    <w:name w:val="heading 8"/>
    <w:basedOn w:val="1"/>
    <w:next w:val="1"/>
    <w:link w:val="161"/>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2">
    <w:name w:val="heading 9"/>
    <w:basedOn w:val="1"/>
    <w:next w:val="1"/>
    <w:link w:val="162"/>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9">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ind w:left="420" w:leftChars="200"/>
    </w:pPr>
  </w:style>
  <w:style w:type="paragraph" w:styleId="3">
    <w:name w:val="macro"/>
    <w:link w:val="154"/>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3">
    <w:name w:val="List 3"/>
    <w:basedOn w:val="1"/>
    <w:unhideWhenUsed/>
    <w:qFormat/>
    <w:uiPriority w:val="99"/>
    <w:pPr>
      <w:ind w:left="1080" w:hanging="360"/>
      <w:contextualSpacing/>
    </w:pPr>
  </w:style>
  <w:style w:type="paragraph" w:styleId="14">
    <w:name w:val="List Number 2"/>
    <w:basedOn w:val="1"/>
    <w:unhideWhenUsed/>
    <w:qFormat/>
    <w:uiPriority w:val="99"/>
    <w:pPr>
      <w:numPr>
        <w:ilvl w:val="0"/>
        <w:numId w:val="1"/>
      </w:numPr>
      <w:contextualSpacing/>
    </w:pPr>
  </w:style>
  <w:style w:type="paragraph" w:styleId="15">
    <w:name w:val="List Number"/>
    <w:basedOn w:val="1"/>
    <w:unhideWhenUsed/>
    <w:qFormat/>
    <w:uiPriority w:val="99"/>
    <w:pPr>
      <w:numPr>
        <w:ilvl w:val="0"/>
        <w:numId w:val="2"/>
      </w:numPr>
      <w:contextualSpacing/>
    </w:p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7">
    <w:name w:val="List Bullet"/>
    <w:basedOn w:val="1"/>
    <w:unhideWhenUsed/>
    <w:qFormat/>
    <w:uiPriority w:val="99"/>
    <w:pPr>
      <w:numPr>
        <w:ilvl w:val="0"/>
        <w:numId w:val="3"/>
      </w:numPr>
      <w:contextualSpacing/>
    </w:pPr>
  </w:style>
  <w:style w:type="paragraph" w:styleId="18">
    <w:name w:val="Body Text 3"/>
    <w:basedOn w:val="1"/>
    <w:link w:val="153"/>
    <w:unhideWhenUsed/>
    <w:qFormat/>
    <w:uiPriority w:val="99"/>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51"/>
    <w:unhideWhenUsed/>
    <w:qFormat/>
    <w:uiPriority w:val="99"/>
  </w:style>
  <w:style w:type="paragraph" w:styleId="21">
    <w:name w:val="Body Text Indent"/>
    <w:basedOn w:val="1"/>
    <w:next w:val="22"/>
    <w:qFormat/>
    <w:uiPriority w:val="0"/>
    <w:pPr>
      <w:ind w:left="480" w:hanging="480" w:hangingChars="200"/>
    </w:pPr>
    <w:rPr>
      <w:sz w:val="24"/>
    </w:rPr>
  </w:style>
  <w:style w:type="paragraph" w:customStyle="1" w:styleId="22">
    <w:name w:val="正文文本首行缩进 21"/>
    <w:basedOn w:val="23"/>
    <w:qFormat/>
    <w:uiPriority w:val="99"/>
    <w:pPr>
      <w:tabs>
        <w:tab w:val="right" w:leader="dot" w:pos="8268"/>
      </w:tabs>
      <w:spacing w:line="200" w:lineRule="atLeast"/>
      <w:ind w:firstLine="420"/>
    </w:pPr>
    <w:rPr>
      <w:rFonts w:hAnsi="Courier New"/>
      <w:spacing w:val="-4"/>
      <w:sz w:val="18"/>
    </w:rPr>
  </w:style>
  <w:style w:type="paragraph" w:customStyle="1" w:styleId="23">
    <w:name w:val="正文缩进1"/>
    <w:basedOn w:val="24"/>
    <w:next w:val="22"/>
    <w:qFormat/>
    <w:uiPriority w:val="0"/>
    <w:pPr>
      <w:autoSpaceDE w:val="0"/>
      <w:autoSpaceDN w:val="0"/>
      <w:adjustRightInd w:val="0"/>
      <w:snapToGrid w:val="0"/>
      <w:ind w:left="420" w:leftChars="200" w:firstLine="480" w:firstLineChars="200"/>
    </w:pPr>
    <w:rPr>
      <w:sz w:val="24"/>
      <w:szCs w:val="21"/>
    </w:rPr>
  </w:style>
  <w:style w:type="paragraph" w:customStyle="1" w:styleId="24">
    <w:name w:val="正文1"/>
    <w:basedOn w:val="25"/>
    <w:next w:val="26"/>
    <w:qFormat/>
    <w:uiPriority w:val="0"/>
    <w:pPr>
      <w:spacing w:line="360" w:lineRule="auto"/>
      <w:ind w:left="360" w:firstLine="420"/>
    </w:pPr>
    <w:rPr>
      <w:rFonts w:ascii="宋体" w:hAnsi="宋体" w:cs="宋体"/>
      <w:szCs w:val="20"/>
    </w:rPr>
  </w:style>
  <w:style w:type="paragraph" w:styleId="25">
    <w:name w:val="toc 3"/>
    <w:basedOn w:val="1"/>
    <w:next w:val="1"/>
    <w:qFormat/>
    <w:uiPriority w:val="0"/>
    <w:pPr>
      <w:ind w:left="840" w:leftChars="400"/>
    </w:pPr>
  </w:style>
  <w:style w:type="paragraph" w:customStyle="1" w:styleId="26">
    <w:name w:val="标题 21"/>
    <w:basedOn w:val="24"/>
    <w:next w:val="24"/>
    <w:qFormat/>
    <w:uiPriority w:val="0"/>
    <w:pPr>
      <w:keepNext/>
      <w:keepLines/>
      <w:tabs>
        <w:tab w:val="left" w:pos="706"/>
      </w:tabs>
      <w:ind w:left="106" w:firstLine="454"/>
      <w:outlineLvl w:val="1"/>
    </w:pPr>
    <w:rPr>
      <w:rFonts w:ascii="Arial" w:hAnsi="Arial" w:eastAsia="??"/>
      <w:b/>
      <w:bCs/>
      <w:szCs w:val="32"/>
    </w:rPr>
  </w:style>
  <w:style w:type="paragraph" w:styleId="27">
    <w:name w:val="List Number 3"/>
    <w:basedOn w:val="1"/>
    <w:unhideWhenUsed/>
    <w:qFormat/>
    <w:uiPriority w:val="99"/>
    <w:pPr>
      <w:numPr>
        <w:ilvl w:val="0"/>
        <w:numId w:val="5"/>
      </w:numPr>
      <w:contextualSpacing/>
    </w:pPr>
  </w:style>
  <w:style w:type="paragraph" w:styleId="28">
    <w:name w:val="List 2"/>
    <w:basedOn w:val="1"/>
    <w:unhideWhenUsed/>
    <w:qFormat/>
    <w:uiPriority w:val="99"/>
    <w:pPr>
      <w:ind w:left="720" w:hanging="360"/>
      <w:contextualSpacing/>
    </w:pPr>
  </w:style>
  <w:style w:type="paragraph" w:styleId="29">
    <w:name w:val="List Continue"/>
    <w:basedOn w:val="1"/>
    <w:unhideWhenUsed/>
    <w:qFormat/>
    <w:uiPriority w:val="99"/>
    <w:pPr>
      <w:ind w:left="360"/>
      <w:contextualSpacing/>
    </w:pPr>
  </w:style>
  <w:style w:type="paragraph" w:styleId="30">
    <w:name w:val="List Bullet 2"/>
    <w:basedOn w:val="1"/>
    <w:unhideWhenUsed/>
    <w:qFormat/>
    <w:uiPriority w:val="99"/>
    <w:pPr>
      <w:numPr>
        <w:ilvl w:val="0"/>
        <w:numId w:val="6"/>
      </w:numPr>
      <w:contextualSpacing/>
    </w:pPr>
  </w:style>
  <w:style w:type="paragraph" w:styleId="31">
    <w:name w:val="footer"/>
    <w:basedOn w:val="1"/>
    <w:link w:val="143"/>
    <w:unhideWhenUsed/>
    <w:qFormat/>
    <w:uiPriority w:val="99"/>
    <w:pPr>
      <w:tabs>
        <w:tab w:val="center" w:pos="4680"/>
        <w:tab w:val="right" w:pos="9360"/>
      </w:tabs>
      <w:spacing w:after="0" w:line="240" w:lineRule="auto"/>
    </w:pPr>
  </w:style>
  <w:style w:type="paragraph" w:styleId="32">
    <w:name w:val="header"/>
    <w:basedOn w:val="1"/>
    <w:link w:val="142"/>
    <w:unhideWhenUsed/>
    <w:qFormat/>
    <w:uiPriority w:val="99"/>
    <w:pPr>
      <w:tabs>
        <w:tab w:val="center" w:pos="4680"/>
        <w:tab w:val="right" w:pos="9360"/>
      </w:tabs>
      <w:spacing w:after="0" w:line="240" w:lineRule="auto"/>
    </w:pPr>
  </w:style>
  <w:style w:type="paragraph" w:styleId="33">
    <w:name w:val="Subtitle"/>
    <w:basedOn w:val="1"/>
    <w:next w:val="1"/>
    <w:link w:val="14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4">
    <w:name w:val="List"/>
    <w:basedOn w:val="1"/>
    <w:unhideWhenUsed/>
    <w:qFormat/>
    <w:uiPriority w:val="99"/>
    <w:pPr>
      <w:ind w:left="360" w:hanging="360"/>
      <w:contextualSpacing/>
    </w:pPr>
  </w:style>
  <w:style w:type="paragraph" w:styleId="35">
    <w:name w:val="Body Text 2"/>
    <w:basedOn w:val="1"/>
    <w:link w:val="152"/>
    <w:unhideWhenUsed/>
    <w:qFormat/>
    <w:uiPriority w:val="99"/>
    <w:pPr>
      <w:spacing w:line="480" w:lineRule="auto"/>
    </w:pPr>
  </w:style>
  <w:style w:type="paragraph" w:styleId="36">
    <w:name w:val="List Continue 2"/>
    <w:basedOn w:val="1"/>
    <w:unhideWhenUsed/>
    <w:qFormat/>
    <w:uiPriority w:val="99"/>
    <w:pPr>
      <w:ind w:left="720"/>
      <w:contextualSpacing/>
    </w:pPr>
  </w:style>
  <w:style w:type="paragraph" w:styleId="37">
    <w:name w:val="List Continue 3"/>
    <w:basedOn w:val="1"/>
    <w:unhideWhenUsed/>
    <w:qFormat/>
    <w:uiPriority w:val="99"/>
    <w:pPr>
      <w:ind w:left="1080"/>
      <w:contextualSpacing/>
    </w:pPr>
  </w:style>
  <w:style w:type="paragraph" w:styleId="38">
    <w:name w:val="Title"/>
    <w:basedOn w:val="1"/>
    <w:next w:val="1"/>
    <w:link w:val="148"/>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40">
    <w:name w:val="Table Grid"/>
    <w:basedOn w:val="3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1">
    <w:name w:val="Light Shading"/>
    <w:basedOn w:val="39"/>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2">
    <w:name w:val="Light Shading Accent 1"/>
    <w:basedOn w:val="39"/>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3">
    <w:name w:val="Light Shading Accent 2"/>
    <w:basedOn w:val="39"/>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4">
    <w:name w:val="Light Shading Accent 3"/>
    <w:basedOn w:val="39"/>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39"/>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6">
    <w:name w:val="Light Shading Accent 5"/>
    <w:basedOn w:val="39"/>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7">
    <w:name w:val="Light Shading Accent 6"/>
    <w:basedOn w:val="39"/>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8">
    <w:name w:val="Light List"/>
    <w:basedOn w:val="39"/>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9">
    <w:name w:val="Light List Accent 1"/>
    <w:basedOn w:val="39"/>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0">
    <w:name w:val="Light List Accent 2"/>
    <w:basedOn w:val="39"/>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1">
    <w:name w:val="Light List Accent 3"/>
    <w:basedOn w:val="39"/>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2">
    <w:name w:val="Light List Accent 4"/>
    <w:basedOn w:val="39"/>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3">
    <w:name w:val="Light List Accent 5"/>
    <w:basedOn w:val="39"/>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4">
    <w:name w:val="Light List Accent 6"/>
    <w:basedOn w:val="39"/>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5">
    <w:name w:val="Light Grid"/>
    <w:basedOn w:val="39"/>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6">
    <w:name w:val="Light Grid Accent 1"/>
    <w:basedOn w:val="39"/>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7">
    <w:name w:val="Light Grid Accent 2"/>
    <w:basedOn w:val="39"/>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8">
    <w:name w:val="Light Grid Accent 3"/>
    <w:basedOn w:val="39"/>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9">
    <w:name w:val="Light Grid Accent 4"/>
    <w:basedOn w:val="39"/>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0">
    <w:name w:val="Light Grid Accent 5"/>
    <w:basedOn w:val="39"/>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1">
    <w:name w:val="Light Grid Accent 6"/>
    <w:basedOn w:val="39"/>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2">
    <w:name w:val="Medium Shading 1"/>
    <w:basedOn w:val="39"/>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3">
    <w:name w:val="Medium Shading 1 Accent 1"/>
    <w:basedOn w:val="39"/>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4">
    <w:name w:val="Medium Shading 1 Accent 2"/>
    <w:basedOn w:val="39"/>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5">
    <w:name w:val="Medium Shading 1 Accent 3"/>
    <w:basedOn w:val="39"/>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6">
    <w:name w:val="Medium Shading 1 Accent 4"/>
    <w:basedOn w:val="39"/>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7">
    <w:name w:val="Medium Shading 1 Accent 5"/>
    <w:basedOn w:val="39"/>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8">
    <w:name w:val="Medium Shading 1 Accent 6"/>
    <w:basedOn w:val="39"/>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9">
    <w:name w:val="Medium Shading 2"/>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1"/>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2"/>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3"/>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4"/>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5"/>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Shading 2 Accent 6"/>
    <w:basedOn w:val="39"/>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6">
    <w:name w:val="Medium List 1"/>
    <w:basedOn w:val="39"/>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7">
    <w:name w:val="Medium List 1 Accent 1"/>
    <w:basedOn w:val="39"/>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8">
    <w:name w:val="Medium List 1 Accent 2"/>
    <w:basedOn w:val="39"/>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9">
    <w:name w:val="Medium List 1 Accent 3"/>
    <w:basedOn w:val="39"/>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80">
    <w:name w:val="Medium List 1 Accent 4"/>
    <w:basedOn w:val="39"/>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1">
    <w:name w:val="Medium List 1 Accent 5"/>
    <w:basedOn w:val="39"/>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2">
    <w:name w:val="Medium List 1 Accent 6"/>
    <w:basedOn w:val="39"/>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3">
    <w:name w:val="Medium List 2"/>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1"/>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2"/>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3"/>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4"/>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5"/>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List 2 Accent 6"/>
    <w:basedOn w:val="39"/>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90">
    <w:name w:val="Medium Grid 1"/>
    <w:basedOn w:val="39"/>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1">
    <w:name w:val="Medium Grid 1 Accent 1"/>
    <w:basedOn w:val="39"/>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2">
    <w:name w:val="Medium Grid 1 Accent 2"/>
    <w:basedOn w:val="39"/>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3">
    <w:name w:val="Medium Grid 1 Accent 3"/>
    <w:basedOn w:val="39"/>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4">
    <w:name w:val="Medium Grid 1 Accent 4"/>
    <w:basedOn w:val="39"/>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5">
    <w:name w:val="Medium Grid 1 Accent 5"/>
    <w:basedOn w:val="39"/>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6">
    <w:name w:val="Medium Grid 1 Accent 6"/>
    <w:basedOn w:val="39"/>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7">
    <w:name w:val="Medium Grid 2"/>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8">
    <w:name w:val="Medium Grid 2 Accent 1"/>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9">
    <w:name w:val="Medium Grid 2 Accent 2"/>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00">
    <w:name w:val="Medium Grid 2 Accent 3"/>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1">
    <w:name w:val="Medium Grid 2 Accent 4"/>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2">
    <w:name w:val="Medium Grid 2 Accent 5"/>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3">
    <w:name w:val="Medium Grid 2 Accent 6"/>
    <w:basedOn w:val="39"/>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4">
    <w:name w:val="Medium Grid 3"/>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5">
    <w:name w:val="Medium Grid 3 Accent 1"/>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6">
    <w:name w:val="Medium Grid 3 Accent 2"/>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7">
    <w:name w:val="Medium Grid 3 Accent 3"/>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8">
    <w:name w:val="Medium Grid 3 Accent 4"/>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9">
    <w:name w:val="Medium Grid 3 Accent 5"/>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0">
    <w:name w:val="Medium Grid 3 Accent 6"/>
    <w:basedOn w:val="39"/>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1">
    <w:name w:val="Dark List"/>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2">
    <w:name w:val="Dark List Accent 1"/>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3">
    <w:name w:val="Dark List Accent 2"/>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4">
    <w:name w:val="Dark List Accent 3"/>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5">
    <w:name w:val="Dark List Accent 4"/>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6">
    <w:name w:val="Dark List Accent 5"/>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7">
    <w:name w:val="Dark List Accent 6"/>
    <w:basedOn w:val="39"/>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8">
    <w:name w:val="Colorful Shading"/>
    <w:basedOn w:val="39"/>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1"/>
    <w:basedOn w:val="39"/>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2"/>
    <w:basedOn w:val="39"/>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3"/>
    <w:basedOn w:val="39"/>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2">
    <w:name w:val="Colorful Shading Accent 4"/>
    <w:basedOn w:val="39"/>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Shading Accent 5"/>
    <w:basedOn w:val="39"/>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4">
    <w:name w:val="Colorful Shading Accent 6"/>
    <w:basedOn w:val="39"/>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5">
    <w:name w:val="Colorful List"/>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6">
    <w:name w:val="Colorful List Accent 1"/>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7">
    <w:name w:val="Colorful List Accent 2"/>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8">
    <w:name w:val="Colorful List Accent 3"/>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9">
    <w:name w:val="Colorful List Accent 4"/>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0">
    <w:name w:val="Colorful List Accent 5"/>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1">
    <w:name w:val="Colorful List Accent 6"/>
    <w:basedOn w:val="39"/>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2">
    <w:name w:val="Colorful Grid"/>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3">
    <w:name w:val="Colorful Grid Accent 1"/>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4">
    <w:name w:val="Colorful Grid Accent 2"/>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5">
    <w:name w:val="Colorful Grid Accent 3"/>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6">
    <w:name w:val="Colorful Grid Accent 4"/>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7">
    <w:name w:val="Colorful Grid Accent 5"/>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8">
    <w:name w:val="Colorful Grid Accent 6"/>
    <w:basedOn w:val="39"/>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40">
    <w:name w:val="Strong"/>
    <w:basedOn w:val="139"/>
    <w:qFormat/>
    <w:uiPriority w:val="22"/>
    <w:rPr>
      <w:b/>
      <w:bCs/>
    </w:rPr>
  </w:style>
  <w:style w:type="character" w:styleId="141">
    <w:name w:val="Emphasis"/>
    <w:basedOn w:val="139"/>
    <w:qFormat/>
    <w:uiPriority w:val="20"/>
    <w:rPr>
      <w:i/>
      <w:iCs/>
    </w:rPr>
  </w:style>
  <w:style w:type="character" w:customStyle="1" w:styleId="142">
    <w:name w:val="页眉 字符"/>
    <w:basedOn w:val="139"/>
    <w:link w:val="32"/>
    <w:qFormat/>
    <w:uiPriority w:val="99"/>
  </w:style>
  <w:style w:type="character" w:customStyle="1" w:styleId="143">
    <w:name w:val="页脚 字符"/>
    <w:basedOn w:val="139"/>
    <w:link w:val="31"/>
    <w:qFormat/>
    <w:uiPriority w:val="99"/>
  </w:style>
  <w:style w:type="paragraph" w:styleId="144">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5">
    <w:name w:val="标题 1 字符"/>
    <w:basedOn w:val="139"/>
    <w:link w:val="4"/>
    <w:qFormat/>
    <w:uiPriority w:val="9"/>
    <w:rPr>
      <w:rFonts w:asciiTheme="majorHAnsi" w:hAnsiTheme="majorHAnsi" w:eastAsiaTheme="majorEastAsia" w:cstheme="majorBidi"/>
      <w:b/>
      <w:bCs/>
      <w:color w:val="376092" w:themeColor="accent1" w:themeShade="BF"/>
      <w:sz w:val="28"/>
      <w:szCs w:val="28"/>
    </w:rPr>
  </w:style>
  <w:style w:type="character" w:customStyle="1" w:styleId="146">
    <w:name w:val="标题 2 字符"/>
    <w:basedOn w:val="139"/>
    <w:link w:val="5"/>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7">
    <w:name w:val="标题 3 字符"/>
    <w:basedOn w:val="139"/>
    <w:link w:val="6"/>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8">
    <w:name w:val="标题 字符"/>
    <w:basedOn w:val="139"/>
    <w:link w:val="38"/>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9">
    <w:name w:val="副标题 字符"/>
    <w:basedOn w:val="139"/>
    <w:link w:val="3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50">
    <w:name w:val="List Paragraph"/>
    <w:basedOn w:val="1"/>
    <w:qFormat/>
    <w:uiPriority w:val="34"/>
    <w:pPr>
      <w:ind w:left="720"/>
      <w:contextualSpacing/>
    </w:pPr>
  </w:style>
  <w:style w:type="character" w:customStyle="1" w:styleId="151">
    <w:name w:val="正文文本 字符"/>
    <w:basedOn w:val="139"/>
    <w:link w:val="20"/>
    <w:qFormat/>
    <w:uiPriority w:val="99"/>
  </w:style>
  <w:style w:type="character" w:customStyle="1" w:styleId="152">
    <w:name w:val="正文文本 2 字符"/>
    <w:basedOn w:val="139"/>
    <w:link w:val="35"/>
    <w:qFormat/>
    <w:uiPriority w:val="99"/>
  </w:style>
  <w:style w:type="character" w:customStyle="1" w:styleId="153">
    <w:name w:val="正文文本 3 字符"/>
    <w:basedOn w:val="139"/>
    <w:link w:val="18"/>
    <w:qFormat/>
    <w:uiPriority w:val="99"/>
    <w:rPr>
      <w:sz w:val="16"/>
      <w:szCs w:val="16"/>
    </w:rPr>
  </w:style>
  <w:style w:type="character" w:customStyle="1" w:styleId="154">
    <w:name w:val="宏文本 字符"/>
    <w:basedOn w:val="139"/>
    <w:link w:val="3"/>
    <w:qFormat/>
    <w:uiPriority w:val="99"/>
    <w:rPr>
      <w:rFonts w:ascii="Courier" w:hAnsi="Courier"/>
      <w:sz w:val="20"/>
      <w:szCs w:val="20"/>
    </w:rPr>
  </w:style>
  <w:style w:type="paragraph" w:styleId="155">
    <w:name w:val="Quote"/>
    <w:basedOn w:val="1"/>
    <w:next w:val="1"/>
    <w:link w:val="156"/>
    <w:qFormat/>
    <w:uiPriority w:val="29"/>
    <w:rPr>
      <w:i/>
      <w:iCs/>
      <w:color w:val="000000" w:themeColor="text1"/>
      <w14:textFill>
        <w14:solidFill>
          <w14:schemeClr w14:val="tx1"/>
        </w14:solidFill>
      </w14:textFill>
    </w:rPr>
  </w:style>
  <w:style w:type="character" w:customStyle="1" w:styleId="156">
    <w:name w:val="引用 字符"/>
    <w:basedOn w:val="139"/>
    <w:link w:val="155"/>
    <w:qFormat/>
    <w:uiPriority w:val="29"/>
    <w:rPr>
      <w:i/>
      <w:iCs/>
      <w:color w:val="000000" w:themeColor="text1"/>
      <w14:textFill>
        <w14:solidFill>
          <w14:schemeClr w14:val="tx1"/>
        </w14:solidFill>
      </w14:textFill>
    </w:rPr>
  </w:style>
  <w:style w:type="character" w:customStyle="1" w:styleId="157">
    <w:name w:val="标题 4 字符"/>
    <w:basedOn w:val="139"/>
    <w:link w:val="7"/>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8">
    <w:name w:val="标题 5 字符"/>
    <w:basedOn w:val="139"/>
    <w:link w:val="8"/>
    <w:semiHidden/>
    <w:qFormat/>
    <w:uiPriority w:val="9"/>
    <w:rPr>
      <w:rFonts w:asciiTheme="majorHAnsi" w:hAnsiTheme="majorHAnsi" w:eastAsiaTheme="majorEastAsia" w:cstheme="majorBidi"/>
      <w:color w:val="254061" w:themeColor="accent1" w:themeShade="80"/>
    </w:rPr>
  </w:style>
  <w:style w:type="character" w:customStyle="1" w:styleId="159">
    <w:name w:val="标题 6 字符"/>
    <w:basedOn w:val="139"/>
    <w:link w:val="9"/>
    <w:semiHidden/>
    <w:qFormat/>
    <w:uiPriority w:val="9"/>
    <w:rPr>
      <w:rFonts w:asciiTheme="majorHAnsi" w:hAnsiTheme="majorHAnsi" w:eastAsiaTheme="majorEastAsia" w:cstheme="majorBidi"/>
      <w:i/>
      <w:iCs/>
      <w:color w:val="254061" w:themeColor="accent1" w:themeShade="80"/>
    </w:rPr>
  </w:style>
  <w:style w:type="character" w:customStyle="1" w:styleId="160">
    <w:name w:val="标题 7 字符"/>
    <w:basedOn w:val="139"/>
    <w:link w:val="10"/>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1">
    <w:name w:val="标题 8 字符"/>
    <w:basedOn w:val="139"/>
    <w:link w:val="11"/>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2">
    <w:name w:val="标题 9 字符"/>
    <w:basedOn w:val="139"/>
    <w:link w:val="12"/>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3">
    <w:name w:val="Intense Quote"/>
    <w:basedOn w:val="1"/>
    <w:next w:val="1"/>
    <w:link w:val="164"/>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4">
    <w:name w:val="明显引用 字符"/>
    <w:basedOn w:val="139"/>
    <w:link w:val="163"/>
    <w:qFormat/>
    <w:uiPriority w:val="30"/>
    <w:rPr>
      <w:b/>
      <w:bCs/>
      <w:i/>
      <w:iCs/>
      <w:color w:val="4F81BD" w:themeColor="accent1"/>
      <w14:textFill>
        <w14:solidFill>
          <w14:schemeClr w14:val="accent1"/>
        </w14:solidFill>
      </w14:textFill>
    </w:rPr>
  </w:style>
  <w:style w:type="character" w:customStyle="1" w:styleId="165">
    <w:name w:val="不明显强调1"/>
    <w:basedOn w:val="139"/>
    <w:qFormat/>
    <w:uiPriority w:val="19"/>
    <w:rPr>
      <w:i/>
      <w:iCs/>
      <w:color w:val="808080" w:themeColor="text1" w:themeTint="80"/>
      <w14:textFill>
        <w14:solidFill>
          <w14:schemeClr w14:val="tx1">
            <w14:lumMod w14:val="50000"/>
            <w14:lumOff w14:val="50000"/>
          </w14:schemeClr>
        </w14:solidFill>
      </w14:textFill>
    </w:rPr>
  </w:style>
  <w:style w:type="character" w:customStyle="1" w:styleId="166">
    <w:name w:val="明显强调1"/>
    <w:basedOn w:val="139"/>
    <w:qFormat/>
    <w:uiPriority w:val="21"/>
    <w:rPr>
      <w:b/>
      <w:bCs/>
      <w:i/>
      <w:iCs/>
      <w:color w:val="4F81BD" w:themeColor="accent1"/>
      <w14:textFill>
        <w14:solidFill>
          <w14:schemeClr w14:val="accent1"/>
        </w14:solidFill>
      </w14:textFill>
    </w:rPr>
  </w:style>
  <w:style w:type="character" w:customStyle="1" w:styleId="167">
    <w:name w:val="不明显参考1"/>
    <w:basedOn w:val="139"/>
    <w:qFormat/>
    <w:uiPriority w:val="31"/>
    <w:rPr>
      <w:smallCaps/>
      <w:color w:val="C0504D" w:themeColor="accent2"/>
      <w:u w:val="single"/>
      <w14:textFill>
        <w14:solidFill>
          <w14:schemeClr w14:val="accent2"/>
        </w14:solidFill>
      </w14:textFill>
    </w:rPr>
  </w:style>
  <w:style w:type="character" w:customStyle="1" w:styleId="168">
    <w:name w:val="明显参考1"/>
    <w:basedOn w:val="139"/>
    <w:qFormat/>
    <w:uiPriority w:val="32"/>
    <w:rPr>
      <w:b/>
      <w:bCs/>
      <w:smallCaps/>
      <w:color w:val="C0504D" w:themeColor="accent2"/>
      <w:spacing w:val="5"/>
      <w:u w:val="single"/>
      <w14:textFill>
        <w14:solidFill>
          <w14:schemeClr w14:val="accent2"/>
        </w14:solidFill>
      </w14:textFill>
    </w:rPr>
  </w:style>
  <w:style w:type="character" w:customStyle="1" w:styleId="169">
    <w:name w:val="书籍标题1"/>
    <w:basedOn w:val="139"/>
    <w:qFormat/>
    <w:uiPriority w:val="33"/>
    <w:rPr>
      <w:b/>
      <w:bCs/>
      <w:smallCaps/>
      <w:spacing w:val="5"/>
    </w:rPr>
  </w:style>
  <w:style w:type="paragraph" w:customStyle="1" w:styleId="170">
    <w:name w:val="TOC 标题1"/>
    <w:basedOn w:val="4"/>
    <w:next w:val="1"/>
    <w:semiHidden/>
    <w:unhideWhenUsed/>
    <w:qFormat/>
    <w:uiPriority w:val="39"/>
    <w:pPr>
      <w:outlineLvl w:val="9"/>
    </w:pPr>
  </w:style>
  <w:style w:type="paragraph" w:customStyle="1" w:styleId="171">
    <w:name w:val="住建局正文"/>
    <w:qFormat/>
    <w:uiPriority w:val="0"/>
    <w:pPr>
      <w:widowControl w:val="0"/>
      <w:spacing w:after="160" w:line="560" w:lineRule="exact"/>
      <w:ind w:firstLine="200" w:firstLineChars="200"/>
      <w:jc w:val="both"/>
    </w:pPr>
    <w:rPr>
      <w:rFonts w:ascii="Times New Roman" w:hAnsi="Times New Roman" w:eastAsia="仿宋_GB2312" w:cs="Times New Roman"/>
      <w:kern w:val="2"/>
      <w:sz w:val="32"/>
      <w:szCs w:val="24"/>
      <w:lang w:val="en-US" w:eastAsia="zh-CN" w:bidi="ar-SA"/>
    </w:rPr>
  </w:style>
  <w:style w:type="character" w:customStyle="1" w:styleId="172">
    <w:name w:val="font31"/>
    <w:basedOn w:val="139"/>
    <w:qFormat/>
    <w:uiPriority w:val="0"/>
    <w:rPr>
      <w:rFonts w:hint="eastAsia" w:ascii="宋体" w:hAnsi="宋体" w:eastAsia="宋体" w:cs="宋体"/>
      <w:color w:val="000000"/>
      <w:sz w:val="18"/>
      <w:szCs w:val="18"/>
      <w:u w:val="none"/>
    </w:rPr>
  </w:style>
  <w:style w:type="character" w:customStyle="1" w:styleId="173">
    <w:name w:val="font01"/>
    <w:basedOn w:val="139"/>
    <w:qFormat/>
    <w:uiPriority w:val="0"/>
    <w:rPr>
      <w:rFonts w:ascii="Arial" w:hAnsi="Arial" w:cs="Arial"/>
      <w:color w:val="000000"/>
      <w:sz w:val="18"/>
      <w:szCs w:val="18"/>
      <w:u w:val="none"/>
    </w:rPr>
  </w:style>
  <w:style w:type="paragraph" w:customStyle="1" w:styleId="174">
    <w:name w:val="Revision"/>
    <w:hidden/>
    <w:unhideWhenUsed/>
    <w:qFormat/>
    <w:uiPriority w:val="99"/>
    <w:pPr>
      <w:spacing w:after="0" w:line="240" w:lineRule="auto"/>
    </w:pPr>
    <w:rPr>
      <w:rFonts w:ascii="PingFang SC" w:hAnsi="PingFang SC" w:eastAsia="PingFang SC" w:cstheme="minorBidi"/>
      <w:color w:val="1F1F1F"/>
      <w:sz w:val="21"/>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2681</Words>
  <Characters>2869</Characters>
  <Lines>220</Lines>
  <Paragraphs>264</Paragraphs>
  <TotalTime>0</TotalTime>
  <ScaleCrop>false</ScaleCrop>
  <LinksUpToDate>false</LinksUpToDate>
  <CharactersWithSpaces>5286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2014-01-08T15:15:00Z</dcterms:created>
  <dc:creator>python-docx</dc:creator>
  <dc:description>generated by python-docx</dc:description>
  <cp:lastModifiedBy>len5</cp:lastModifiedBy>
  <cp:lastPrinted>2026-07-29T10:40:00Z</cp:lastPrinted>
  <dcterms:modified xsi:type="dcterms:W3CDTF">2026-09-03T20:26:52Z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5A0C3F091F706203321C636A185C0D9E_43</vt:lpwstr>
  </property>
</Properties>
</file>