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eastAsia" w:ascii="方正小标宋简体" w:hAnsi="国标小标宋" w:eastAsia="方正小标宋简体" w:cs="国标小标宋"/>
          <w:bCs/>
          <w:color w:val="000000" w:themeColor="text1"/>
          <w:sz w:val="44"/>
          <w:szCs w:val="44"/>
          <w:lang w:eastAsia="zh-CN"/>
          <w14:textFill>
            <w14:solidFill>
              <w14:schemeClr w14:val="tx1"/>
            </w14:solidFill>
          </w14:textFill>
        </w:rPr>
      </w:pPr>
      <w:r>
        <w:rPr>
          <w:rFonts w:hint="eastAsia" w:ascii="方正小标宋简体" w:hAnsi="国标小标宋" w:eastAsia="方正小标宋简体" w:cs="国标小标宋"/>
          <w:bCs/>
          <w:color w:val="000000" w:themeColor="text1"/>
          <w:sz w:val="44"/>
          <w:szCs w:val="44"/>
          <w:lang w:eastAsia="zh-CN"/>
          <w14:textFill>
            <w14:solidFill>
              <w14:schemeClr w14:val="tx1"/>
            </w14:solidFill>
          </w14:textFill>
        </w:rPr>
        <w:t>东莞市交通运输局网络安全服务项目</w:t>
      </w:r>
    </w:p>
    <w:p>
      <w:pPr>
        <w:spacing w:after="0" w:line="240" w:lineRule="auto"/>
        <w:jc w:val="center"/>
        <w:rPr>
          <w:rFonts w:hint="eastAsia" w:ascii="国标小标宋" w:hAnsi="国标小标宋" w:eastAsia="国标小标宋" w:cs="国标小标宋"/>
          <w:bCs/>
          <w:color w:val="000000" w:themeColor="text1"/>
          <w:sz w:val="44"/>
          <w:szCs w:val="44"/>
          <w:lang w:eastAsia="zh-CN"/>
          <w14:textFill>
            <w14:solidFill>
              <w14:schemeClr w14:val="tx1"/>
            </w14:solidFill>
          </w14:textFill>
        </w:rPr>
      </w:pPr>
      <w:r>
        <w:rPr>
          <w:rFonts w:hint="eastAsia" w:ascii="方正小标宋简体" w:hAnsi="国标小标宋" w:eastAsia="方正小标宋简体" w:cs="国标小标宋"/>
          <w:bCs/>
          <w:color w:val="000000" w:themeColor="text1"/>
          <w:sz w:val="44"/>
          <w:szCs w:val="44"/>
          <w:lang w:eastAsia="zh-CN"/>
          <w14:textFill>
            <w14:solidFill>
              <w14:schemeClr w14:val="tx1"/>
            </w14:solidFill>
          </w14:textFill>
        </w:rPr>
        <w:t>采购需求书</w:t>
      </w:r>
    </w:p>
    <w:p>
      <w:pPr>
        <w:spacing w:after="80" w:line="360" w:lineRule="auto"/>
        <w:rPr>
          <w:rFonts w:hint="eastAsia"/>
          <w:color w:val="000000" w:themeColor="text1"/>
          <w:lang w:eastAsia="zh-CN"/>
          <w14:textFill>
            <w14:solidFill>
              <w14:schemeClr w14:val="tx1"/>
            </w14:solidFill>
          </w14:textFill>
        </w:rPr>
      </w:pPr>
    </w:p>
    <w:p>
      <w:pPr>
        <w:pStyle w:val="3"/>
        <w:spacing w:before="0" w:after="0" w:line="540" w:lineRule="exact"/>
        <w:ind w:firstLine="640" w:firstLineChars="200"/>
        <w:rPr>
          <w:rFonts w:hint="eastAsia" w:ascii="黑体" w:hAnsi="黑体" w:eastAsia="黑体" w:cs="国标黑体"/>
          <w:b/>
          <w:bCs/>
          <w:color w:val="000000" w:themeColor="text1"/>
          <w:sz w:val="32"/>
          <w:szCs w:val="32"/>
          <w:lang w:eastAsia="zh-CN"/>
          <w14:textFill>
            <w14:solidFill>
              <w14:schemeClr w14:val="tx1"/>
            </w14:solidFill>
          </w14:textFill>
        </w:rPr>
      </w:pPr>
      <w:r>
        <w:rPr>
          <w:rFonts w:hint="eastAsia" w:ascii="黑体" w:hAnsi="黑体" w:eastAsia="黑体" w:cs="国标黑体"/>
          <w:color w:val="000000" w:themeColor="text1"/>
          <w:sz w:val="32"/>
          <w:szCs w:val="32"/>
          <w:lang w:eastAsia="zh-CN"/>
          <w14:textFill>
            <w14:solidFill>
              <w14:schemeClr w14:val="tx1"/>
            </w14:solidFill>
          </w14:textFill>
        </w:rPr>
        <w:t>一、项目基本情况</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交通运输行业是民生基本行业，需要投入充分的网络安全资源和资金做好交通运输领域的网络安全和数据安全管理工作。而且随着智慧交通的建设，东莞市交通运输局的业务系统逐渐增多，面临的互联网、内部威胁增多，安全风险增大，网络安全保障工作压力增加。国家各级政府部门、网络与信息安全主管部门对网络与信息安全越来越重视，做好网络与信息安全是上级的直接要求，也是东莞市交通运输局的安全需要。</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东莞市交通运输局通过互联网向公众提供服务，一旦发生安全事件，可能导致公众办理业务和出行的便利性和快捷性。国家法律法规、上级部门对网络与信息安全要求越来越严格，要求进一步完善安全管理体系，做好网络与信息安全管理工作。</w:t>
      </w:r>
    </w:p>
    <w:p>
      <w:pPr>
        <w:spacing w:after="0" w:line="540" w:lineRule="exact"/>
        <w:ind w:firstLine="640" w:firstLineChars="200"/>
        <w:rPr>
          <w:rFonts w:hint="eastAsia" w:ascii="仿宋_GB2312" w:hAnsi="仿宋" w:eastAsia="仿宋_GB2312" w:cs="仿宋"/>
          <w:color w:val="000000" w:themeColor="text1"/>
          <w:szCs w:val="21"/>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东莞市交通运输局依据《网络安全法》《数据安全法》《个人信息保护法》及自身网络安全需求，采购网络安全服务。</w:t>
      </w:r>
    </w:p>
    <w:tbl>
      <w:tblPr>
        <w:tblStyle w:val="18"/>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6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92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b/>
                <w:color w:val="000000" w:themeColor="text1"/>
                <w:sz w:val="28"/>
                <w:szCs w:val="28"/>
                <w14:textFill>
                  <w14:solidFill>
                    <w14:schemeClr w14:val="tx1"/>
                  </w14:solidFill>
                </w14:textFill>
              </w:rPr>
              <w:t>事项</w:t>
            </w:r>
          </w:p>
        </w:tc>
        <w:tc>
          <w:tcPr>
            <w:tcW w:w="691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b/>
                <w:color w:val="000000" w:themeColor="text1"/>
                <w:sz w:val="28"/>
                <w:szCs w:val="28"/>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192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采购人</w:t>
            </w:r>
          </w:p>
        </w:tc>
        <w:tc>
          <w:tcPr>
            <w:tcW w:w="691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东莞市交通运输局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项目名称</w:t>
            </w:r>
          </w:p>
        </w:tc>
        <w:tc>
          <w:tcPr>
            <w:tcW w:w="6917" w:type="dxa"/>
            <w:vAlign w:val="center"/>
          </w:tcPr>
          <w:p>
            <w:pPr>
              <w:spacing w:after="0" w:line="300" w:lineRule="auto"/>
              <w:jc w:val="center"/>
              <w:rPr>
                <w:rFonts w:hint="eastAsia" w:ascii="仿宋_GB2312" w:hAnsi="仿宋" w:eastAsia="仿宋_GB2312" w:cs="仿宋"/>
                <w:color w:val="000000" w:themeColor="text1"/>
                <w:sz w:val="28"/>
                <w:szCs w:val="28"/>
                <w:lang w:eastAsia="zh-CN"/>
                <w14:textFill>
                  <w14:solidFill>
                    <w14:schemeClr w14:val="tx1"/>
                  </w14:solidFill>
                </w14:textFill>
              </w:rPr>
            </w:pPr>
            <w:r>
              <w:rPr>
                <w:rFonts w:hint="eastAsia" w:ascii="仿宋_GB2312" w:hAnsi="仿宋" w:eastAsia="仿宋_GB2312" w:cs="仿宋"/>
                <w:color w:val="000000" w:themeColor="text1"/>
                <w:sz w:val="28"/>
                <w:szCs w:val="28"/>
                <w:lang w:eastAsia="zh-CN"/>
                <w14:textFill>
                  <w14:solidFill>
                    <w14:schemeClr w14:val="tx1"/>
                  </w14:solidFill>
                </w14:textFill>
              </w:rPr>
              <w:t>东莞市交通运输局网络安全服务项目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服务周期</w:t>
            </w:r>
          </w:p>
        </w:tc>
        <w:tc>
          <w:tcPr>
            <w:tcW w:w="691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2026年10月1</w:t>
            </w:r>
            <w:r>
              <w:rPr>
                <w:rFonts w:hint="eastAsia" w:ascii="仿宋_GB2312" w:hAnsi="仿宋" w:eastAsia="仿宋_GB2312" w:cs="仿宋"/>
                <w:color w:val="000000" w:themeColor="text1"/>
                <w:sz w:val="28"/>
                <w:szCs w:val="28"/>
                <w:lang w:eastAsia="zh-CN"/>
                <w14:textFill>
                  <w14:solidFill>
                    <w14:schemeClr w14:val="tx1"/>
                  </w14:solidFill>
                </w14:textFill>
              </w:rPr>
              <w:t>日至</w:t>
            </w:r>
            <w:r>
              <w:rPr>
                <w:rFonts w:hint="eastAsia" w:ascii="仿宋_GB2312" w:hAnsi="仿宋" w:eastAsia="仿宋_GB2312" w:cs="仿宋"/>
                <w:color w:val="000000" w:themeColor="text1"/>
                <w:sz w:val="28"/>
                <w:szCs w:val="28"/>
                <w14:textFill>
                  <w14:solidFill>
                    <w14:schemeClr w14:val="tx1"/>
                  </w14:solidFill>
                </w14:textFill>
              </w:rPr>
              <w:t>2027年9月30日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最高限价</w:t>
            </w:r>
          </w:p>
        </w:tc>
        <w:tc>
          <w:tcPr>
            <w:tcW w:w="6917" w:type="dxa"/>
            <w:vAlign w:val="center"/>
          </w:tcPr>
          <w:p>
            <w:pPr>
              <w:spacing w:after="0" w:line="300" w:lineRule="auto"/>
              <w:jc w:val="center"/>
              <w:rPr>
                <w:rFonts w:hint="eastAsia" w:ascii="仿宋_GB2312" w:hAnsi="仿宋" w:eastAsia="仿宋_GB2312" w:cs="仿宋"/>
                <w:color w:val="000000" w:themeColor="text1"/>
                <w:sz w:val="28"/>
                <w:szCs w:val="28"/>
                <w:lang w:eastAsia="zh-CN"/>
                <w14:textFill>
                  <w14:solidFill>
                    <w14:schemeClr w14:val="tx1"/>
                  </w14:solidFill>
                </w14:textFill>
              </w:rPr>
            </w:pPr>
            <w:r>
              <w:rPr>
                <w:rFonts w:hint="eastAsia" w:ascii="仿宋_GB2312" w:hAnsi="仿宋" w:eastAsia="仿宋_GB2312" w:cs="仿宋"/>
                <w:color w:val="000000" w:themeColor="text1"/>
                <w:sz w:val="28"/>
                <w:szCs w:val="28"/>
                <w:lang w:eastAsia="zh-CN"/>
                <w14:textFill>
                  <w14:solidFill>
                    <w14:schemeClr w14:val="tx1"/>
                  </w14:solidFill>
                </w14:textFill>
              </w:rPr>
              <w:t>人民币226100.00元（贰拾贰万陆仟壹佰元整）</w:t>
            </w:r>
          </w:p>
        </w:tc>
      </w:tr>
    </w:tbl>
    <w:p>
      <w:pPr>
        <w:pStyle w:val="2"/>
        <w:spacing w:after="0" w:line="540" w:lineRule="exact"/>
        <w:rPr>
          <w:rFonts w:hint="eastAsia"/>
          <w:color w:val="000000" w:themeColor="text1"/>
          <w:lang w:eastAsia="zh-CN"/>
          <w14:textFill>
            <w14:solidFill>
              <w14:schemeClr w14:val="tx1"/>
            </w14:solidFill>
          </w14:textFill>
        </w:rPr>
      </w:pPr>
    </w:p>
    <w:p>
      <w:pPr>
        <w:spacing w:after="0" w:line="540" w:lineRule="exact"/>
        <w:ind w:firstLine="640" w:firstLineChars="200"/>
        <w:outlineLvl w:val="1"/>
        <w:rPr>
          <w:rFonts w:hint="eastAsia" w:ascii="黑体" w:hAnsi="黑体" w:eastAsia="黑体" w:cs="仿宋"/>
          <w:color w:val="000000" w:themeColor="text1"/>
          <w:sz w:val="32"/>
          <w:szCs w:val="32"/>
          <w:lang w:eastAsia="zh-CN"/>
          <w14:textFill>
            <w14:solidFill>
              <w14:schemeClr w14:val="tx1"/>
            </w14:solidFill>
          </w14:textFill>
        </w:rPr>
      </w:pPr>
      <w:r>
        <w:rPr>
          <w:rFonts w:hint="eastAsia" w:ascii="黑体" w:hAnsi="黑体" w:eastAsia="黑体" w:cs="仿宋"/>
          <w:color w:val="000000" w:themeColor="text1"/>
          <w:sz w:val="32"/>
          <w:szCs w:val="32"/>
          <w:lang w:eastAsia="zh-CN"/>
          <w14:textFill>
            <w14:solidFill>
              <w14:schemeClr w14:val="tx1"/>
            </w14:solidFill>
          </w14:textFill>
        </w:rPr>
        <w:t>二、采购需求与技术要求</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（一）服务目标</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1.实时监测网站和互联网重要信息系统，分析网络安全管理风险、网络安全技术风险、网络安全运维风险，提出整改建议，优化安全防护体系，提升网络安全管理及业务连续性保障能力。</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2.通过本地安全检查、安全策略配置优化、漏洞扫描、渗透测试等检查网络安全设备和系统的安全情况，并协助开展修复工作，避免因安全漏洞导致安全事件的发生。</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3.快速处置网络与信息安全突发事件，并根据需要开展取证工作，提升网络与信息安全突发事件的处置能力。在重要网络安全防护期，提供保障方案，开展网络安全风险检测，协助开展信息安全风险治理。</w:t>
      </w:r>
    </w:p>
    <w:p>
      <w:pPr>
        <w:spacing w:after="0" w:line="540" w:lineRule="exact"/>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4.数据安全风险评估服务。针对涉及数据处理相关的重要业务场景和相关信息系统，开展基础数据安全风险评估服务。</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（二）服务要求</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1.不少于8个互联网系统页面恶意内容监控。对指定不少于8个监控的页面进行7×24小时每半小时一次的解析，通过分词、关键字模糊匹配等技术，实现对违反规定的内容及恶意内容的发现，避免造成不良影响和舆论问题。当发现有关问题时应于10分钟内联系互联网系统负责人及时进行处置。</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2.本地安全检查。通过本地登录信息系统服务器的操作系统、应用发布系统和数据库管理系统，利用第三方安全检测工具、本地检测脚本等方式排查系统存在的安全配置隐患，对安全措施有效性和安全状态级别等信息进行详细的检测。</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3.安全策略配置优化。根据安全基线检测结果，对操作系统存在的安全配置隐患、安全措施有效性和安全状态进行评估，通过调整系统安全基线配置、安全策略等方式进行系统整体加固和安全优化，提高系统的安全性和抗攻击能力。将整个系统的安全状况维持在较高的水平，减少安全事件发生的可能性。</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4.安全应急响应。当信息系统因非法攻击或病毒入侵等原因而遭到破坏、更改或泄漏，发生网络安全事件时，网络安全应急服务工程师将第一时间到达指定现场协助解决问题，加强保护措施，防止安全事件进一步扩大，并且派遣取证人员对事件现场进行证据固定，协助进行事后的有关处理活动。</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5.漏洞扫描。通过第三方评估工具以扫描的方式对评估范围内的系统和网络进行安全扫描，查找网络设备、服务器主机等安全对象目标存在的安全风险、漏洞和威胁，提供整改建议。</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6.渗透测试。模拟攻击者入侵方法，以人工渗透为主，工具为辅，对目标系统进行非破坏性质的模拟入侵者攻击，发现系统和设备存在网络安全隐患，并提出整改建议，协助整改加固。</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7.重要时期网络安全保障。在重要网络安全保障前，提供保障方案，开展网络安全风险检测，提出网络安全加固防护建议，协助开展信息安全风险治理，发生异常时提供网络安全应急支撑，编写事件报告，保障重要时期信息系统稳定安全运行。</w:t>
      </w:r>
    </w:p>
    <w:p>
      <w:pPr>
        <w:spacing w:after="0" w:line="540" w:lineRule="exact"/>
        <w:ind w:firstLine="640" w:firstLineChars="200"/>
        <w:jc w:val="both"/>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8.数据安全风险评估服务。针对涉及数据处理相关的重要业务场景和相关信息系统，开展基础数据安全风险评估服务。根据《数据安全法》《个人信息保护法》《网络数据安全管理条例》等法律法规，以及《信息安全技术网络数据处理安全要求》(GB/T41479-2022)、《数据安全技术数据安全风险评估方法》(GB/T45577-2025)等国家数据安全标准以及网信办、公安部、工信部发布的相关数据安全规范，制定融合评估的风险标准。出具《数据安全风险评估报告》及相关数据安全风险整改建议。</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（三）服务频次及范围</w:t>
      </w:r>
    </w:p>
    <w:tbl>
      <w:tblPr>
        <w:tblStyle w:val="17"/>
        <w:tblW w:w="46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2623"/>
        <w:gridCol w:w="2623"/>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jc w:val="center"/>
              <w:rPr>
                <w:rFonts w:hint="eastAsia" w:ascii="仿宋_GB2312" w:hAnsi="仿宋" w:eastAsia="仿宋_GB2312" w:cs="仿宋"/>
                <w:color w:val="000000" w:themeColor="text1"/>
                <w:sz w:val="24"/>
                <w:szCs w:val="24"/>
                <w14:textFill>
                  <w14:solidFill>
                    <w14:schemeClr w14:val="tx1"/>
                  </w14:solidFill>
                </w14:textFill>
              </w:rPr>
            </w:pPr>
            <w:r>
              <w:rPr>
                <w:rFonts w:hint="eastAsia" w:ascii="仿宋_GB2312" w:hAnsi="仿宋" w:eastAsia="仿宋_GB2312" w:cs="仿宋"/>
                <w:color w:val="000000" w:themeColor="text1"/>
                <w:sz w:val="24"/>
                <w:szCs w:val="24"/>
                <w14:textFill>
                  <w14:solidFill>
                    <w14:schemeClr w14:val="tx1"/>
                  </w14:solidFill>
                </w14:textFill>
              </w:rPr>
              <w:t>序号</w:t>
            </w:r>
          </w:p>
        </w:tc>
        <w:tc>
          <w:tcPr>
            <w:tcW w:w="1522" w:type="pct"/>
            <w:vAlign w:val="center"/>
          </w:tcPr>
          <w:p>
            <w:pPr>
              <w:jc w:val="center"/>
              <w:rPr>
                <w:rFonts w:hint="eastAsia" w:ascii="仿宋_GB2312" w:hAnsi="仿宋" w:eastAsia="仿宋_GB2312" w:cs="仿宋"/>
                <w:color w:val="000000" w:themeColor="text1"/>
                <w:sz w:val="24"/>
                <w:szCs w:val="24"/>
                <w:lang w:eastAsia="zh-Hans"/>
                <w14:textFill>
                  <w14:solidFill>
                    <w14:schemeClr w14:val="tx1"/>
                  </w14:solidFill>
                </w14:textFill>
              </w:rPr>
            </w:pPr>
            <w:r>
              <w:rPr>
                <w:rFonts w:hint="eastAsia" w:ascii="仿宋_GB2312" w:hAnsi="仿宋" w:eastAsia="仿宋_GB2312" w:cs="仿宋"/>
                <w:color w:val="000000" w:themeColor="text1"/>
                <w:sz w:val="24"/>
                <w:szCs w:val="24"/>
                <w:lang w:eastAsia="zh-Hans"/>
                <w14:textFill>
                  <w14:solidFill>
                    <w14:schemeClr w14:val="tx1"/>
                  </w14:solidFill>
                </w14:textFill>
              </w:rPr>
              <w:t>安全服务类别</w:t>
            </w:r>
          </w:p>
        </w:tc>
        <w:tc>
          <w:tcPr>
            <w:tcW w:w="1522" w:type="pct"/>
            <w:vAlign w:val="center"/>
          </w:tcPr>
          <w:p>
            <w:pPr>
              <w:jc w:val="center"/>
              <w:rPr>
                <w:rFonts w:hint="eastAsia" w:ascii="仿宋_GB2312" w:hAnsi="仿宋" w:eastAsia="仿宋_GB2312" w:cs="仿宋"/>
                <w:color w:val="000000" w:themeColor="text1"/>
                <w:sz w:val="24"/>
                <w:szCs w:val="24"/>
                <w14:textFill>
                  <w14:solidFill>
                    <w14:schemeClr w14:val="tx1"/>
                  </w14:solidFill>
                </w14:textFill>
              </w:rPr>
            </w:pPr>
            <w:r>
              <w:rPr>
                <w:rFonts w:hint="eastAsia" w:ascii="仿宋_GB2312" w:hAnsi="仿宋" w:eastAsia="仿宋_GB2312" w:cs="仿宋"/>
                <w:color w:val="000000" w:themeColor="text1"/>
                <w:sz w:val="24"/>
                <w:szCs w:val="24"/>
                <w14:textFill>
                  <w14:solidFill>
                    <w14:schemeClr w14:val="tx1"/>
                  </w14:solidFill>
                </w14:textFill>
              </w:rPr>
              <w:t>服务频次</w:t>
            </w:r>
          </w:p>
        </w:tc>
        <w:tc>
          <w:tcPr>
            <w:tcW w:w="1523" w:type="pct"/>
            <w:vAlign w:val="center"/>
          </w:tcPr>
          <w:p>
            <w:pPr>
              <w:jc w:val="center"/>
              <w:rPr>
                <w:rFonts w:hint="eastAsia" w:ascii="仿宋_GB2312" w:hAnsi="仿宋" w:eastAsia="仿宋_GB2312" w:cs="仿宋"/>
                <w:color w:val="000000" w:themeColor="text1"/>
                <w:sz w:val="24"/>
                <w:szCs w:val="24"/>
                <w14:textFill>
                  <w14:solidFill>
                    <w14:schemeClr w14:val="tx1"/>
                  </w14:solidFill>
                </w14:textFill>
              </w:rPr>
            </w:pPr>
            <w:r>
              <w:rPr>
                <w:rFonts w:hint="eastAsia" w:ascii="仿宋_GB2312" w:hAnsi="仿宋" w:eastAsia="仿宋_GB2312" w:cs="仿宋"/>
                <w:color w:val="000000" w:themeColor="text1"/>
                <w:sz w:val="24"/>
                <w:szCs w:val="24"/>
                <w14:textFill>
                  <w14:solidFill>
                    <w14:schemeClr w14:val="tx1"/>
                  </w14:solidFill>
                </w14:textFill>
              </w:rPr>
              <w:t>服务范围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31" w:type="pct"/>
            <w:vAlign w:val="center"/>
          </w:tcPr>
          <w:p>
            <w:pPr>
              <w:numPr>
                <w:ilvl w:val="0"/>
                <w:numId w:val="1"/>
              </w:numPr>
              <w:spacing w:line="360" w:lineRule="exact"/>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color w:val="000000" w:themeColor="text1"/>
                <w:sz w:val="24"/>
                <w:szCs w:val="24"/>
                <w:lang w:eastAsia="zh-CN"/>
                <w14:textFill>
                  <w14:solidFill>
                    <w14:schemeClr w14:val="tx1"/>
                  </w14:solidFill>
                </w14:textFill>
              </w:rPr>
              <w:t>互联网系统页面恶意内容监控</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Hans"/>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1年</w:t>
            </w:r>
          </w:p>
        </w:tc>
        <w:tc>
          <w:tcPr>
            <w:tcW w:w="1523"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不少于8个互联网系统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Hans"/>
                <w14:textFill>
                  <w14:solidFill>
                    <w14:schemeClr w14:val="tx1"/>
                  </w14:solidFill>
                </w14:textFill>
              </w:rPr>
            </w:pPr>
            <w:r>
              <w:rPr>
                <w:rFonts w:hint="eastAsia" w:ascii="仿宋_GB2312" w:hAnsi="仿宋" w:eastAsia="仿宋_GB2312" w:cs="仿宋"/>
                <w:bCs/>
                <w:color w:val="000000" w:themeColor="text1"/>
                <w:sz w:val="24"/>
                <w:szCs w:val="24"/>
                <w14:textFill>
                  <w14:solidFill>
                    <w14:schemeClr w14:val="tx1"/>
                  </w14:solidFill>
                </w14:textFill>
              </w:rPr>
              <w:t>本地安全检查</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周期内2次</w:t>
            </w:r>
          </w:p>
        </w:tc>
        <w:tc>
          <w:tcPr>
            <w:tcW w:w="1523" w:type="pct"/>
            <w:vAlign w:val="center"/>
          </w:tcPr>
          <w:p>
            <w:pPr>
              <w:spacing w:line="360" w:lineRule="exact"/>
              <w:jc w:val="both"/>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color w:val="000000" w:themeColor="text1"/>
                <w:sz w:val="24"/>
                <w:szCs w:val="24"/>
                <w14:textFill>
                  <w14:solidFill>
                    <w14:schemeClr w14:val="tx1"/>
                  </w14:solidFill>
                </w14:textFill>
              </w:rPr>
              <w:t>安全策略配置优化</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周期内2次</w:t>
            </w:r>
          </w:p>
        </w:tc>
        <w:tc>
          <w:tcPr>
            <w:tcW w:w="1523" w:type="pct"/>
            <w:vAlign w:val="center"/>
          </w:tcPr>
          <w:p>
            <w:pPr>
              <w:spacing w:line="360" w:lineRule="exact"/>
              <w:jc w:val="both"/>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服务器、安全设备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snapToGrid w:val="0"/>
                <w:color w:val="000000" w:themeColor="text1"/>
                <w:sz w:val="24"/>
                <w:szCs w:val="24"/>
                <w:lang w:eastAsia="zh-CN"/>
                <w14:textFill>
                  <w14:solidFill>
                    <w14:schemeClr w14:val="tx1"/>
                  </w14:solidFill>
                </w14:textFill>
              </w:rPr>
              <w:t>漏洞扫描</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snapToGrid w:val="0"/>
                <w:color w:val="000000" w:themeColor="text1"/>
                <w:sz w:val="24"/>
                <w:szCs w:val="24"/>
                <w:lang w:eastAsia="zh-CN"/>
                <w14:textFill>
                  <w14:solidFill>
                    <w14:schemeClr w14:val="tx1"/>
                  </w14:solidFill>
                </w14:textFill>
              </w:rPr>
              <w:t>周期内2次</w:t>
            </w:r>
          </w:p>
        </w:tc>
        <w:tc>
          <w:tcPr>
            <w:tcW w:w="1523" w:type="pct"/>
            <w:vAlign w:val="center"/>
          </w:tcPr>
          <w:p>
            <w:pPr>
              <w:spacing w:line="360" w:lineRule="exact"/>
              <w:jc w:val="both"/>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snapToGrid w:val="0"/>
                <w:color w:val="000000" w:themeColor="text1"/>
                <w:sz w:val="24"/>
                <w:szCs w:val="24"/>
                <w:lang w:eastAsia="zh-CN"/>
                <w14:textFill>
                  <w14:solidFill>
                    <w14:schemeClr w14:val="tx1"/>
                  </w14:solidFill>
                </w14:textFill>
              </w:rPr>
              <w:t>交通局网络终端设备、办公电脑、服务器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color w:val="000000" w:themeColor="text1"/>
                <w:sz w:val="24"/>
                <w:szCs w:val="24"/>
                <w14:textFill>
                  <w14:solidFill>
                    <w14:schemeClr w14:val="tx1"/>
                  </w14:solidFill>
                </w14:textFill>
              </w:rPr>
            </w:pPr>
            <w:r>
              <w:rPr>
                <w:rFonts w:hint="eastAsia" w:ascii="仿宋_GB2312" w:hAnsi="仿宋" w:eastAsia="仿宋_GB2312" w:cs="仿宋"/>
                <w:color w:val="000000" w:themeColor="text1"/>
                <w:sz w:val="24"/>
                <w:szCs w:val="24"/>
                <w14:textFill>
                  <w14:solidFill>
                    <w14:schemeClr w14:val="tx1"/>
                  </w14:solidFill>
                </w14:textFill>
              </w:rPr>
              <w:t>渗透测试</w:t>
            </w:r>
          </w:p>
        </w:tc>
        <w:tc>
          <w:tcPr>
            <w:tcW w:w="1522" w:type="pct"/>
            <w:vAlign w:val="center"/>
          </w:tcPr>
          <w:p>
            <w:pPr>
              <w:spacing w:line="360" w:lineRule="exact"/>
              <w:jc w:val="center"/>
              <w:rPr>
                <w:rFonts w:hint="eastAsia" w:ascii="仿宋_GB2312" w:hAnsi="仿宋" w:eastAsia="仿宋_GB2312" w:cs="仿宋"/>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14:textFill>
                  <w14:solidFill>
                    <w14:schemeClr w14:val="tx1"/>
                  </w14:solidFill>
                </w14:textFill>
              </w:rPr>
              <w:t>周期内2次</w:t>
            </w:r>
          </w:p>
        </w:tc>
        <w:tc>
          <w:tcPr>
            <w:tcW w:w="1523" w:type="pct"/>
            <w:vAlign w:val="center"/>
          </w:tcPr>
          <w:p>
            <w:pPr>
              <w:spacing w:line="360" w:lineRule="exact"/>
              <w:jc w:val="both"/>
              <w:rPr>
                <w:rFonts w:hint="eastAsia" w:ascii="仿宋_GB2312" w:hAnsi="仿宋" w:eastAsia="仿宋_GB2312" w:cs="仿宋"/>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按需对有关信息系统进行渗透测试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bCs/>
                <w:color w:val="000000" w:themeColor="text1"/>
                <w:sz w:val="24"/>
                <w:szCs w:val="24"/>
                <w14:textFill>
                  <w14:solidFill>
                    <w14:schemeClr w14:val="tx1"/>
                  </w14:solidFill>
                </w14:textFill>
              </w:rPr>
              <w:t>安全应急响应</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根据实际需要，周期内1次</w:t>
            </w:r>
          </w:p>
        </w:tc>
        <w:tc>
          <w:tcPr>
            <w:tcW w:w="1523" w:type="pct"/>
            <w:vAlign w:val="center"/>
          </w:tcPr>
          <w:p>
            <w:pPr>
              <w:spacing w:line="360" w:lineRule="exact"/>
              <w:jc w:val="both"/>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网络信息安全事件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重要时期网络安全保障</w:t>
            </w:r>
          </w:p>
        </w:tc>
        <w:tc>
          <w:tcPr>
            <w:tcW w:w="1522" w:type="pct"/>
            <w:vAlign w:val="center"/>
          </w:tcPr>
          <w:p>
            <w:pPr>
              <w:spacing w:line="360" w:lineRule="exact"/>
              <w:jc w:val="center"/>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周期内4次</w:t>
            </w:r>
          </w:p>
        </w:tc>
        <w:tc>
          <w:tcPr>
            <w:tcW w:w="1523" w:type="pct"/>
            <w:vAlign w:val="center"/>
          </w:tcPr>
          <w:p>
            <w:pPr>
              <w:spacing w:line="360" w:lineRule="exact"/>
              <w:jc w:val="both"/>
              <w:rPr>
                <w:rFonts w:hint="eastAsia" w:ascii="仿宋_GB2312" w:hAnsi="仿宋" w:eastAsia="仿宋_GB2312" w:cs="仿宋"/>
                <w:bCs/>
                <w:snapToGrid w:val="0"/>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网络信息安全保障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1" w:type="pct"/>
            <w:vAlign w:val="center"/>
          </w:tcPr>
          <w:p>
            <w:pPr>
              <w:numPr>
                <w:ilvl w:val="0"/>
                <w:numId w:val="1"/>
              </w:numPr>
              <w:ind w:firstLine="0"/>
              <w:jc w:val="center"/>
              <w:rPr>
                <w:rFonts w:hint="eastAsia" w:ascii="仿宋_GB2312" w:hAnsi="仿宋" w:eastAsia="仿宋_GB2312" w:cs="仿宋"/>
                <w:color w:val="000000" w:themeColor="text1"/>
                <w:sz w:val="24"/>
                <w:szCs w:val="24"/>
                <w:lang w:eastAsia="zh-Hans"/>
                <w14:textFill>
                  <w14:solidFill>
                    <w14:schemeClr w14:val="tx1"/>
                  </w14:solidFill>
                </w14:textFill>
              </w:rPr>
            </w:pPr>
          </w:p>
        </w:tc>
        <w:tc>
          <w:tcPr>
            <w:tcW w:w="1522" w:type="pct"/>
            <w:vAlign w:val="center"/>
          </w:tcPr>
          <w:p>
            <w:pPr>
              <w:spacing w:line="360" w:lineRule="exact"/>
              <w:rPr>
                <w:rFonts w:hint="eastAsia" w:ascii="仿宋_GB2312" w:hAnsi="仿宋" w:eastAsia="仿宋_GB2312" w:cs="仿宋"/>
                <w:bCs/>
                <w:color w:val="000000" w:themeColor="text1"/>
                <w:sz w:val="24"/>
                <w:szCs w:val="24"/>
                <w:lang w:eastAsia="zh-CN"/>
                <w14:textFill>
                  <w14:solidFill>
                    <w14:schemeClr w14:val="tx1"/>
                  </w14:solidFill>
                </w14:textFill>
              </w:rPr>
            </w:pPr>
            <w:r>
              <w:rPr>
                <w:rFonts w:hint="eastAsia" w:ascii="仿宋_GB2312" w:hAnsi="仿宋" w:eastAsia="仿宋_GB2312" w:cs="仿宋"/>
                <w:bCs/>
                <w:color w:val="000000" w:themeColor="text1"/>
                <w:sz w:val="24"/>
                <w:szCs w:val="24"/>
                <w:lang w:eastAsia="zh-CN"/>
                <w14:textFill>
                  <w14:solidFill>
                    <w14:schemeClr w14:val="tx1"/>
                  </w14:solidFill>
                </w14:textFill>
              </w:rPr>
              <w:t>数据安全风险评估服务</w:t>
            </w:r>
          </w:p>
        </w:tc>
        <w:tc>
          <w:tcPr>
            <w:tcW w:w="1522" w:type="pct"/>
            <w:vAlign w:val="center"/>
          </w:tcPr>
          <w:p>
            <w:pPr>
              <w:jc w:val="center"/>
              <w:rPr>
                <w:rFonts w:hint="eastAsia" w:ascii="仿宋_GB2312" w:hAnsi="仿宋" w:eastAsia="仿宋_GB2312" w:cs="仿宋"/>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周期内1次</w:t>
            </w:r>
          </w:p>
        </w:tc>
        <w:tc>
          <w:tcPr>
            <w:tcW w:w="1523" w:type="pct"/>
            <w:vAlign w:val="center"/>
          </w:tcPr>
          <w:p>
            <w:pPr>
              <w:jc w:val="both"/>
              <w:rPr>
                <w:rFonts w:hint="eastAsia" w:ascii="仿宋_GB2312" w:hAnsi="仿宋" w:eastAsia="仿宋_GB2312" w:cs="仿宋"/>
                <w:color w:val="000000" w:themeColor="text1"/>
                <w:sz w:val="24"/>
                <w:szCs w:val="24"/>
                <w:lang w:eastAsia="zh-CN"/>
                <w14:textFill>
                  <w14:solidFill>
                    <w14:schemeClr w14:val="tx1"/>
                  </w14:solidFill>
                </w14:textFill>
              </w:rPr>
            </w:pPr>
            <w:r>
              <w:rPr>
                <w:rFonts w:hint="eastAsia" w:ascii="仿宋_GB2312" w:hAnsi="仿宋" w:eastAsia="仿宋_GB2312" w:cs="仿宋"/>
                <w:color w:val="000000" w:themeColor="text1"/>
                <w:sz w:val="24"/>
                <w:szCs w:val="24"/>
                <w:lang w:eastAsia="zh-CN"/>
                <w14:textFill>
                  <w14:solidFill>
                    <w14:schemeClr w14:val="tx1"/>
                  </w14:solidFill>
                </w14:textFill>
              </w:rPr>
              <w:t>本单位信息系统</w:t>
            </w:r>
          </w:p>
        </w:tc>
      </w:tr>
    </w:tbl>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（四）报告编制要求</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项目实施过程中，服务商应及时完成服务成果交付：</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网站信息监控报告。服务商应定期编制《网站信息监控报告》，内容包括连通性监控、挂马监控、网页篡改监控、网站敏感内容、网站DNS解析监控等。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本地安全配置核查报告。服务商应按次编制《本地安全配置核查报告》，内容包括资产信息、安全检查项、当前配置项、安全合规标准、安全合规判断结果、风险级别、安全加固建议等。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安全策略配置优化报告。服务商按次编制《安全策略配置优化报告》，内容包括资产信息、安全风险项、当前配置、安全策略优化建议、优化方法、优化效果等。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漏洞扫描报告。服务商按次编制《漏洞扫描报告》，内容包括主机信息、漏洞信息、漏洞修复建议等。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渗透测试报告。服务商按次编制《渗透测试报告》，内容包括渗透测试对象、实施时间、使用的工具、发现的安全问题概述、详细的漏洞测试结果、漏洞修复情况等，针对渗透测试发现的应用系统安全漏洞和隐患，提出相应的可行性整改解决方案。</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安全应急响应报告。服务商按次编制《安全事件应急响应报告》，内容包括事件情况说明、事件处置过程、事件原因分析、风险规避建议等。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重要时期网络安全保障实施方案。服务商按次编制《网络安全保障实施方案》，内容包括总体要求与工作目标、组织架构与职责分工、安全风险评估与隐患排查、安全防护加固措施、安全监测预警、值班值守与信息报送、保障措施等。</w:t>
      </w:r>
    </w:p>
    <w:p>
      <w:pPr>
        <w:numPr>
          <w:ilvl w:val="0"/>
          <w:numId w:val="2"/>
        </w:num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数据安全风险评估报告。服务商按次编制《数据安全风险评估报告》，内容包括概述与项目背景、评估范围与对象、评估依据与方法、数据资产识别与分类分级、数据全生命周期安全分析、威胁识别、脆弱性识别、已有安全防护措施分析、风险分析与评价、评估结论、风险处置建议、附录等。</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（五）服务商资质要求</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参照《中华人民共和国政府采购法》第二十二条规定，服务商须符合以下条件：</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1.具有独立承担民事责任的能力。</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2.具有良好的商业信誉和健全的财务会计制度。</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3.具有履行合同所必需的设备、专业技术能力和数据处理能力。</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4.具有依法缴纳税收和社会保障资金的良好记录。</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5.参加采购活动前三年内，在经营活动中没有重大违法记录。服务商未被列入“信用中国”网站（www.creditchina.gov.cn）失信被执行人、重大税收违法失信主体或政府采购严重违法失信行为记录名单；不处于中国政府采购网（www.ccgp.gov.cn）政府采购严重违法失信行为信息记录中的禁止参加政府采购活动期间。</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6.本项目不接受联合体参与，严禁转包或违法分包。</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（六）报价要求</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本项目最高限价为人民币226100.00元（大写：贰拾贰万陆仟壹佰元整）。响应报价超过最高限价的，按无效响应处理。报价包括本项目采购需求和投入使用的所有费用，包括但不限于主件、标准附件、备品备件、施工、服务、专用工具、安装、调试、检验、培训、运输、保险、税款及其他相关费用。</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（七）响应报价说明</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响应资料必须加盖公章后密封，并在封面注明投件单位、联系人及联系电话，在封口处加贴封条并加盖公章。未按要求密封盖章或逾期送达的文件将视为无效。报价材料包括：</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1.《营业执照》复印件、法定代表人身份证复印件（正、反面）；</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2.报价表（见附件1）；</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3.资格条件承诺函（见附件2）；</w:t>
      </w:r>
    </w:p>
    <w:p>
      <w:pPr>
        <w:spacing w:after="0" w:line="54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4.服务商信用查询截图（查询渠道：“信用中国”（www.creditchina.gov.cn）、“中国政府采购网”（http://www.ccgp.gov.cn/），查询时间截点：采购公告发布之日至响应文件提交截止时间前）；</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5.法定代表人授权书（模板见附件3，无授权代表可不提供）；</w:t>
      </w:r>
    </w:p>
    <w:p>
      <w:pPr>
        <w:spacing w:after="0" w:line="540" w:lineRule="exact"/>
        <w:ind w:firstLine="640" w:firstLineChars="200"/>
        <w:rPr>
          <w:rFonts w:hint="eastAsia" w:ascii="仿宋_GB2312" w:hAnsi="仿宋" w:eastAsia="仿宋_GB2312" w:cs="仿宋"/>
          <w:color w:val="000000" w:themeColor="text1"/>
          <w:sz w:val="32"/>
          <w:szCs w:val="32"/>
          <w:highlight w:val="yellow"/>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6.根据本采购需求书编制的技术服务方案、项目团队、同类业绩、服务响应和其他证明材料（建议列索引表）。</w:t>
      </w:r>
    </w:p>
    <w:p>
      <w:pPr>
        <w:spacing w:after="0" w:line="540" w:lineRule="exact"/>
        <w:ind w:firstLine="640" w:firstLineChars="200"/>
        <w:outlineLvl w:val="1"/>
        <w:rPr>
          <w:rFonts w:hint="eastAsia" w:ascii="楷体_GB2312" w:hAnsi="仿宋" w:eastAsia="楷体_GB2312" w:cs="仿宋"/>
          <w:color w:val="000000" w:themeColor="text1"/>
          <w:sz w:val="32"/>
          <w:szCs w:val="32"/>
          <w:lang w:eastAsia="zh-CN"/>
          <w14:textFill>
            <w14:solidFill>
              <w14:schemeClr w14:val="tx1"/>
            </w14:solidFill>
          </w14:textFill>
        </w:rPr>
      </w:pPr>
      <w:r>
        <w:rPr>
          <w:rFonts w:hint="eastAsia" w:ascii="楷体_GB2312" w:hAnsi="仿宋" w:eastAsia="楷体_GB2312" w:cs="仿宋"/>
          <w:color w:val="000000" w:themeColor="text1"/>
          <w:sz w:val="32"/>
          <w:szCs w:val="32"/>
          <w:lang w:eastAsia="zh-CN"/>
          <w14:textFill>
            <w14:solidFill>
              <w14:schemeClr w14:val="tx1"/>
            </w14:solidFill>
          </w14:textFill>
        </w:rPr>
        <w:t>（八）支付方式</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1.技术服务费由采购人分期支付服务商。采购人在每期付款前，服务商应提前7个工作日将等额合法有效的普通发票开具给采购人，否则采购人有权拒绝付款。</w:t>
      </w:r>
    </w:p>
    <w:p>
      <w:pPr>
        <w:spacing w:after="0" w:line="54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2.第一期：合同签订后，采购人在收到服务商提供的合法有效等额发票后10个工作日内支付人民币61000元。</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3.第二期：采购人在服务周期结束验收合格后10个工作日内付服务商余下合同款项。</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4.因服务商原因导致付款时间迟延的，由服务商承担相应责任，采购人财政支付审批流程不计入付款时间。本项目支付相关细则、时间约束及权责约定最终以双方签订的正式合同文本为准。</w:t>
      </w:r>
    </w:p>
    <w:p>
      <w:pPr>
        <w:spacing w:after="0" w:line="540" w:lineRule="exact"/>
        <w:ind w:firstLine="640" w:firstLineChars="200"/>
        <w:outlineLvl w:val="0"/>
        <w:rPr>
          <w:rFonts w:hint="eastAsia" w:ascii="黑体" w:hAnsi="黑体" w:eastAsia="黑体" w:cs="国标黑体"/>
          <w:color w:val="000000" w:themeColor="text1"/>
          <w:sz w:val="32"/>
          <w:szCs w:val="32"/>
          <w:lang w:eastAsia="zh-CN"/>
          <w14:textFill>
            <w14:solidFill>
              <w14:schemeClr w14:val="tx1"/>
            </w14:solidFill>
          </w14:textFill>
        </w:rPr>
      </w:pPr>
      <w:r>
        <w:rPr>
          <w:rFonts w:hint="eastAsia" w:ascii="黑体" w:hAnsi="黑体" w:eastAsia="黑体" w:cs="国标黑体"/>
          <w:color w:val="000000" w:themeColor="text1"/>
          <w:sz w:val="32"/>
          <w:szCs w:val="32"/>
          <w:lang w:eastAsia="zh-CN"/>
          <w14:textFill>
            <w14:solidFill>
              <w14:schemeClr w14:val="tx1"/>
            </w14:solidFill>
          </w14:textFill>
        </w:rPr>
        <w:t>三、评审标准</w:t>
      </w:r>
    </w:p>
    <w:p>
      <w:pPr>
        <w:spacing w:after="0" w:line="540" w:lineRule="exact"/>
        <w:ind w:firstLine="640" w:firstLineChars="20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本项目采用综合评分法，所有响应文件的评分分别按技术部分、商务部分和报价部分进行打分，满分100分。其中，技术部分62分，商务部分18分，报价部分20分。</w:t>
      </w:r>
    </w:p>
    <w:tbl>
      <w:tblPr>
        <w:tblStyle w:val="1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850"/>
        <w:gridCol w:w="5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134" w:type="dxa"/>
            <w:vAlign w:val="center"/>
          </w:tcPr>
          <w:p>
            <w:pPr>
              <w:spacing w:after="0" w:line="300" w:lineRule="auto"/>
              <w:jc w:val="center"/>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类别</w:t>
            </w:r>
          </w:p>
        </w:tc>
        <w:tc>
          <w:tcPr>
            <w:tcW w:w="1701" w:type="dxa"/>
            <w:vAlign w:val="center"/>
          </w:tcPr>
          <w:p>
            <w:pPr>
              <w:spacing w:after="0" w:line="300" w:lineRule="auto"/>
              <w:jc w:val="center"/>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评审因素</w:t>
            </w:r>
          </w:p>
        </w:tc>
        <w:tc>
          <w:tcPr>
            <w:tcW w:w="850" w:type="dxa"/>
            <w:vAlign w:val="center"/>
          </w:tcPr>
          <w:p>
            <w:pPr>
              <w:spacing w:after="0" w:line="300" w:lineRule="auto"/>
              <w:jc w:val="center"/>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分值</w:t>
            </w:r>
          </w:p>
        </w:tc>
        <w:tc>
          <w:tcPr>
            <w:tcW w:w="5159" w:type="dxa"/>
            <w:vAlign w:val="center"/>
          </w:tcPr>
          <w:p>
            <w:pPr>
              <w:spacing w:after="0" w:line="300" w:lineRule="auto"/>
              <w:jc w:val="center"/>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评审重点及标准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bCs/>
                <w:color w:val="000000" w:themeColor="text1"/>
                <w:szCs w:val="21"/>
                <w14:textFill>
                  <w14:solidFill>
                    <w14:schemeClr w14:val="tx1"/>
                  </w14:solidFill>
                </w14:textFill>
              </w:rPr>
              <w:t>用户需求</w:t>
            </w:r>
            <w:r>
              <w:rPr>
                <w:rFonts w:hint="eastAsia" w:ascii="仿宋" w:hAnsi="仿宋" w:eastAsia="仿宋" w:cs="仿宋"/>
                <w:bCs/>
                <w:color w:val="000000" w:themeColor="text1"/>
                <w:szCs w:val="21"/>
                <w:lang w:eastAsia="zh-CN"/>
                <w14:textFill>
                  <w14:solidFill>
                    <w14:schemeClr w14:val="tx1"/>
                  </w14:solidFill>
                </w14:textFill>
              </w:rPr>
              <w:t>分析</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eastAsia="zh-CN"/>
                <w14:textFill>
                  <w14:solidFill>
                    <w14:schemeClr w14:val="tx1"/>
                  </w14:solidFill>
                </w14:textFill>
              </w:rPr>
              <w:t>0</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根据</w:t>
            </w:r>
            <w:r>
              <w:rPr>
                <w:rFonts w:hint="eastAsia" w:ascii="仿宋" w:hAnsi="仿宋" w:eastAsia="仿宋" w:cs="仿宋"/>
                <w:bCs/>
                <w:color w:val="000000" w:themeColor="text1"/>
                <w:szCs w:val="21"/>
                <w:lang w:eastAsia="zh-CN"/>
                <w14:textFill>
                  <w14:solidFill>
                    <w14:schemeClr w14:val="tx1"/>
                  </w14:solidFill>
                </w14:textFill>
              </w:rPr>
              <w:t>供应商</w:t>
            </w:r>
            <w:r>
              <w:rPr>
                <w:rFonts w:hint="eastAsia" w:ascii="仿宋" w:hAnsi="仿宋" w:eastAsia="仿宋" w:cs="仿宋"/>
                <w:color w:val="000000" w:themeColor="text1"/>
                <w:szCs w:val="21"/>
                <w:lang w:eastAsia="zh-CN"/>
                <w14:textFill>
                  <w14:solidFill>
                    <w14:schemeClr w14:val="tx1"/>
                  </w14:solidFill>
                </w14:textFill>
              </w:rPr>
              <w:t>对本项目（包括但不限于项目情况、用户安全规划、用户实际安全需求、网络安全保护重要性、网络安全水平提升建议等）的理解程度进行评审：</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1.对本项目需求有全面、深入的分析理解，能契合满足或优于项目需求的，得10分；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2.对本项目需求有较深入的分析理解，能覆盖项目需求的，得6分；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3.对本项目需求的分析理解程度一般，基本满足项目需求的，得2分；</w:t>
            </w:r>
          </w:p>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4.</w:t>
            </w:r>
            <w:r>
              <w:rPr>
                <w:rFonts w:hint="eastAsia" w:ascii="仿宋" w:hAnsi="仿宋" w:eastAsia="仿宋" w:cs="仿宋"/>
                <w:color w:val="000000" w:themeColor="text1"/>
                <w:szCs w:val="21"/>
                <w14:textFill>
                  <w14:solidFill>
                    <w14:schemeClr w14:val="tx1"/>
                  </w14:solidFill>
                </w14:textFill>
              </w:rPr>
              <w:t>其他或不提供不得分。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实施</w:t>
            </w:r>
            <w:r>
              <w:rPr>
                <w:rFonts w:hint="eastAsia" w:ascii="仿宋" w:hAnsi="仿宋" w:eastAsia="仿宋" w:cs="仿宋"/>
                <w:color w:val="000000" w:themeColor="text1"/>
                <w:szCs w:val="21"/>
                <w14:textFill>
                  <w14:solidFill>
                    <w14:schemeClr w14:val="tx1"/>
                  </w14:solidFill>
                </w14:textFill>
              </w:rPr>
              <w:t>方案</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eastAsia="zh-CN"/>
                <w14:textFill>
                  <w14:solidFill>
                    <w14:schemeClr w14:val="tx1"/>
                  </w14:solidFill>
                </w14:textFill>
              </w:rPr>
              <w:t>5</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根据项目实施方案中所包含的流程步骤、测评方法、测评工具、保密措施、项目管理制度、风险防范措施等内容进行评审：</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1.项目实施方案详细丰富，包含明确的流程步骤、科学的测评方法、先进的测评工具、完善的保密措施、规范的项目管理制度以及有效的风险防范措施，可操作性强，得15分；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2.项目实施方案较详细丰富，包含较明确的流程步骤、较科学的测评方法、较先进的测评工具、较完善的保密措施、较规范的项目管理制度以及较有效的风险防范措施，可操作性较强，得11分；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3.项目实施方案，管理制度，保密措施及风险防范措施一般，得7分；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4.未提供对应方案不得分。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Hans"/>
                <w14:textFill>
                  <w14:solidFill>
                    <w14:schemeClr w14:val="tx1"/>
                  </w14:solidFill>
                </w14:textFill>
              </w:rPr>
              <w:t>应急保障方案</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eastAsia="zh-CN"/>
                <w14:textFill>
                  <w14:solidFill>
                    <w14:schemeClr w14:val="tx1"/>
                  </w14:solidFill>
                </w14:textFill>
              </w:rPr>
              <w:t>5</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根据投标人的应急保障方案【包括但不限于风险控制方案、应急处理措施等】进行评分：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1</w:t>
            </w:r>
            <w:r>
              <w:rPr>
                <w:rFonts w:hint="eastAsia" w:ascii="仿宋" w:hAnsi="仿宋" w:eastAsia="仿宋" w:cs="仿宋"/>
                <w:color w:val="000000" w:themeColor="text1"/>
                <w:szCs w:val="21"/>
                <w:lang w:eastAsia="zh-CN"/>
                <w14:textFill>
                  <w14:solidFill>
                    <w14:schemeClr w14:val="tx1"/>
                  </w14:solidFill>
                </w14:textFill>
              </w:rPr>
              <w:t>.</w:t>
            </w:r>
            <w:r>
              <w:rPr>
                <w:rFonts w:hint="eastAsia" w:ascii="仿宋" w:hAnsi="仿宋" w:eastAsia="仿宋" w:cs="仿宋"/>
                <w:color w:val="000000" w:themeColor="text1"/>
                <w:szCs w:val="21"/>
                <w:lang w:val="zh-CN" w:eastAsia="zh-CN"/>
                <w14:textFill>
                  <w14:solidFill>
                    <w14:schemeClr w14:val="tx1"/>
                  </w14:solidFill>
                </w14:textFill>
              </w:rPr>
              <w:t>应急保障方案详尽完整，严谨规范，可行性高的得1</w:t>
            </w:r>
            <w:r>
              <w:rPr>
                <w:rFonts w:hint="eastAsia" w:ascii="仿宋" w:hAnsi="仿宋" w:eastAsia="仿宋" w:cs="仿宋"/>
                <w:color w:val="000000" w:themeColor="text1"/>
                <w:szCs w:val="21"/>
                <w:lang w:eastAsia="zh-CN"/>
                <w14:textFill>
                  <w14:solidFill>
                    <w14:schemeClr w14:val="tx1"/>
                  </w14:solidFill>
                </w14:textFill>
              </w:rPr>
              <w:t>5</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2.</w:t>
            </w:r>
            <w:r>
              <w:rPr>
                <w:rFonts w:hint="eastAsia" w:ascii="仿宋" w:hAnsi="仿宋" w:eastAsia="仿宋" w:cs="仿宋"/>
                <w:color w:val="000000" w:themeColor="text1"/>
                <w:szCs w:val="21"/>
                <w:lang w:val="zh-CN" w:eastAsia="zh-CN"/>
                <w14:textFill>
                  <w14:solidFill>
                    <w14:schemeClr w14:val="tx1"/>
                  </w14:solidFill>
                </w14:textFill>
              </w:rPr>
              <w:t>应急保障方案一般，可行性较差的得</w:t>
            </w:r>
            <w:r>
              <w:rPr>
                <w:rFonts w:hint="eastAsia" w:ascii="仿宋" w:hAnsi="仿宋" w:eastAsia="仿宋" w:cs="仿宋"/>
                <w:color w:val="000000" w:themeColor="text1"/>
                <w:szCs w:val="21"/>
                <w:lang w:eastAsia="zh-CN"/>
                <w14:textFill>
                  <w14:solidFill>
                    <w14:schemeClr w14:val="tx1"/>
                  </w14:solidFill>
                </w14:textFill>
              </w:rPr>
              <w:t>10</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3.</w:t>
            </w:r>
            <w:r>
              <w:rPr>
                <w:rFonts w:hint="eastAsia" w:ascii="仿宋" w:hAnsi="仿宋" w:eastAsia="仿宋" w:cs="仿宋"/>
                <w:color w:val="000000" w:themeColor="text1"/>
                <w:szCs w:val="21"/>
                <w:lang w:val="zh-CN" w:eastAsia="zh-CN"/>
                <w14:textFill>
                  <w14:solidFill>
                    <w14:schemeClr w14:val="tx1"/>
                  </w14:solidFill>
                </w14:textFill>
              </w:rPr>
              <w:t>应急保障方案缺乏合理性的得</w:t>
            </w:r>
            <w:r>
              <w:rPr>
                <w:rFonts w:hint="eastAsia" w:ascii="仿宋" w:hAnsi="仿宋" w:eastAsia="仿宋" w:cs="仿宋"/>
                <w:color w:val="000000" w:themeColor="text1"/>
                <w:szCs w:val="21"/>
                <w:lang w:eastAsia="zh-CN"/>
                <w14:textFill>
                  <w14:solidFill>
                    <w14:schemeClr w14:val="tx1"/>
                  </w14:solidFill>
                </w14:textFill>
              </w:rPr>
              <w:t>5</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4.未提供不得分。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售后服务</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10</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根据对本项目的售后服务进行综合评审：</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1.有完善的售后服务体系、技术服务支持，针对性较强、服务全面具体的得</w:t>
            </w:r>
            <w:r>
              <w:rPr>
                <w:rFonts w:hint="eastAsia" w:ascii="仿宋" w:hAnsi="仿宋" w:eastAsia="仿宋" w:cs="仿宋"/>
                <w:color w:val="000000" w:themeColor="text1"/>
                <w:szCs w:val="21"/>
                <w:lang w:eastAsia="zh-CN"/>
                <w14:textFill>
                  <w14:solidFill>
                    <w14:schemeClr w14:val="tx1"/>
                  </w14:solidFill>
                </w14:textFill>
              </w:rPr>
              <w:t>10</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2.有售后服务体系、技术服务支持，针对性一般、服务基本满足要求的得</w:t>
            </w:r>
            <w:r>
              <w:rPr>
                <w:rFonts w:hint="eastAsia" w:ascii="仿宋" w:hAnsi="仿宋" w:eastAsia="仿宋" w:cs="仿宋"/>
                <w:color w:val="000000" w:themeColor="text1"/>
                <w:szCs w:val="21"/>
                <w:lang w:eastAsia="zh-CN"/>
                <w14:textFill>
                  <w14:solidFill>
                    <w14:schemeClr w14:val="tx1"/>
                  </w14:solidFill>
                </w14:textFill>
              </w:rPr>
              <w:t>7</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3.有售后服务体系、技术服务支持，针对性较差、服务不满足要求的得</w:t>
            </w:r>
            <w:r>
              <w:rPr>
                <w:rFonts w:hint="eastAsia" w:ascii="仿宋" w:hAnsi="仿宋" w:eastAsia="仿宋" w:cs="仿宋"/>
                <w:color w:val="000000" w:themeColor="text1"/>
                <w:szCs w:val="21"/>
                <w:lang w:eastAsia="zh-CN"/>
                <w14:textFill>
                  <w14:solidFill>
                    <w14:schemeClr w14:val="tx1"/>
                  </w14:solidFill>
                </w14:textFill>
              </w:rPr>
              <w:t>4</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4.无售后服务体系不得分。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管理体系</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6</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根据投标人具有由国家认证认可监督管理部门批准设立的认证机构颁发并在有效期内的证书情况进行评分：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1</w:t>
            </w:r>
            <w:r>
              <w:rPr>
                <w:rFonts w:hint="eastAsia" w:ascii="仿宋" w:hAnsi="仿宋" w:eastAsia="仿宋" w:cs="仿宋"/>
                <w:color w:val="000000" w:themeColor="text1"/>
                <w:szCs w:val="21"/>
                <w:lang w:val="zh-CN" w:eastAsia="zh-CN"/>
                <w14:textFill>
                  <w14:solidFill>
                    <w14:schemeClr w14:val="tx1"/>
                  </w14:solidFill>
                </w14:textFill>
              </w:rPr>
              <w:t>.信息安全服务资质证书（安全工程类），得</w:t>
            </w:r>
            <w:r>
              <w:rPr>
                <w:rFonts w:hint="eastAsia" w:ascii="仿宋" w:hAnsi="仿宋" w:eastAsia="仿宋" w:cs="仿宋"/>
                <w:color w:val="000000" w:themeColor="text1"/>
                <w:szCs w:val="21"/>
                <w:lang w:eastAsia="zh-CN"/>
                <w14:textFill>
                  <w14:solidFill>
                    <w14:schemeClr w14:val="tx1"/>
                  </w14:solidFill>
                </w14:textFill>
              </w:rPr>
              <w:t>3</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2</w:t>
            </w:r>
            <w:r>
              <w:rPr>
                <w:rFonts w:hint="eastAsia" w:ascii="仿宋" w:hAnsi="仿宋" w:eastAsia="仿宋" w:cs="仿宋"/>
                <w:color w:val="000000" w:themeColor="text1"/>
                <w:szCs w:val="21"/>
                <w:lang w:val="zh-CN" w:eastAsia="zh-CN"/>
                <w14:textFill>
                  <w14:solidFill>
                    <w14:schemeClr w14:val="tx1"/>
                  </w14:solidFill>
                </w14:textFill>
              </w:rPr>
              <w:t>.信息安全服务资质证书（数据安全类），得</w:t>
            </w:r>
            <w:r>
              <w:rPr>
                <w:rFonts w:hint="eastAsia" w:ascii="仿宋" w:hAnsi="仿宋" w:eastAsia="仿宋" w:cs="仿宋"/>
                <w:color w:val="000000" w:themeColor="text1"/>
                <w:szCs w:val="21"/>
                <w:lang w:eastAsia="zh-CN"/>
                <w14:textFill>
                  <w14:solidFill>
                    <w14:schemeClr w14:val="tx1"/>
                  </w14:solidFill>
                </w14:textFill>
              </w:rPr>
              <w:t>3</w:t>
            </w:r>
            <w:r>
              <w:rPr>
                <w:rFonts w:hint="eastAsia" w:ascii="仿宋" w:hAnsi="仿宋" w:eastAsia="仿宋" w:cs="仿宋"/>
                <w:color w:val="000000" w:themeColor="text1"/>
                <w:szCs w:val="21"/>
                <w:lang w:val="zh-CN" w:eastAsia="zh-CN"/>
                <w14:textFill>
                  <w14:solidFill>
                    <w14:schemeClr w14:val="tx1"/>
                  </w14:solidFill>
                </w14:textFill>
              </w:rPr>
              <w:t>分；</w:t>
            </w:r>
          </w:p>
          <w:p>
            <w:pPr>
              <w:rPr>
                <w:rFonts w:hint="eastAsia" w:ascii="仿宋" w:hAnsi="仿宋" w:eastAsia="仿宋" w:cs="仿宋"/>
                <w:color w:val="000000" w:themeColor="text1"/>
                <w:szCs w:val="21"/>
                <w:lang w:val="zh-CN"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不提供则不得分。</w:t>
            </w:r>
          </w:p>
          <w:p>
            <w:pP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val="zh-CN" w:eastAsia="zh-CN"/>
                <w14:textFill>
                  <w14:solidFill>
                    <w14:schemeClr w14:val="tx1"/>
                  </w14:solidFill>
                </w14:textFill>
              </w:rPr>
              <w:t>注：须提供有效期内证书复印件加盖投标人公章。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技术部分</w:t>
            </w:r>
          </w:p>
        </w:tc>
        <w:tc>
          <w:tcPr>
            <w:tcW w:w="1701" w:type="dxa"/>
            <w:vAlign w:val="center"/>
          </w:tcPr>
          <w:p>
            <w:pPr>
              <w:spacing w:after="0" w:line="300" w:lineRule="auto"/>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项目负责人与团队配置</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6</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pStyle w:val="41"/>
              <w:spacing w:line="360" w:lineRule="exact"/>
              <w:ind w:left="0" w:leftChars="0" w:firstLine="0" w:firstLineChars="0"/>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lang w:eastAsia="zh-CN"/>
                <w14:textFill>
                  <w14:solidFill>
                    <w14:schemeClr w14:val="tx1"/>
                  </w14:solidFill>
                </w14:textFill>
              </w:rPr>
              <w:t>项目团队人员具有</w:t>
            </w:r>
            <w:r>
              <w:rPr>
                <w:rFonts w:ascii="仿宋" w:hAnsi="仿宋" w:eastAsia="仿宋" w:cs="仿宋"/>
                <w:color w:val="000000" w:themeColor="text1"/>
                <w:sz w:val="21"/>
                <w:szCs w:val="21"/>
                <w:lang w:eastAsia="zh-CN"/>
                <w14:textFill>
                  <w14:solidFill>
                    <w14:schemeClr w14:val="tx1"/>
                  </w14:solidFill>
                </w14:textFill>
              </w:rPr>
              <w:t>网络安全国家</w:t>
            </w:r>
            <w:r>
              <w:rPr>
                <w:rFonts w:hint="eastAsia" w:ascii="仿宋" w:hAnsi="仿宋" w:eastAsia="仿宋" w:cs="仿宋"/>
                <w:color w:val="000000" w:themeColor="text1"/>
                <w:sz w:val="21"/>
                <w:szCs w:val="21"/>
                <w:lang w:eastAsia="zh-CN"/>
                <w14:textFill>
                  <w14:solidFill>
                    <w14:schemeClr w14:val="tx1"/>
                  </w14:solidFill>
                </w14:textFill>
              </w:rPr>
              <w:t>级</w:t>
            </w:r>
            <w:r>
              <w:rPr>
                <w:rFonts w:ascii="仿宋" w:hAnsi="仿宋" w:eastAsia="仿宋" w:cs="仿宋"/>
                <w:color w:val="000000" w:themeColor="text1"/>
                <w:sz w:val="21"/>
                <w:szCs w:val="21"/>
                <w:lang w:eastAsia="zh-CN"/>
                <w14:textFill>
                  <w14:solidFill>
                    <w14:schemeClr w14:val="tx1"/>
                  </w14:solidFill>
                </w14:textFill>
              </w:rPr>
              <w:t>权威机构</w:t>
            </w:r>
            <w:r>
              <w:rPr>
                <w:rFonts w:hint="eastAsia" w:ascii="仿宋" w:hAnsi="仿宋" w:eastAsia="仿宋" w:cs="仿宋"/>
                <w:color w:val="000000" w:themeColor="text1"/>
                <w:sz w:val="21"/>
                <w:szCs w:val="21"/>
                <w:lang w:eastAsia="zh-CN"/>
                <w14:textFill>
                  <w14:solidFill>
                    <w14:schemeClr w14:val="tx1"/>
                  </w14:solidFill>
                </w14:textFill>
              </w:rPr>
              <w:t>颁发的包括应急响应、渗透测试、信息安全、数据安全、个人信息保护等方面的证书。</w:t>
            </w:r>
          </w:p>
          <w:p>
            <w:pPr>
              <w:pStyle w:val="41"/>
              <w:spacing w:line="360" w:lineRule="exact"/>
              <w:ind w:left="0" w:leftChars="0" w:firstLine="0" w:firstLineChars="0"/>
              <w:rPr>
                <w:rFonts w:hint="eastAsia" w:ascii="仿宋" w:hAnsi="仿宋" w:eastAsia="仿宋" w:cs="仿宋"/>
                <w:color w:val="000000" w:themeColor="text1"/>
                <w:sz w:val="21"/>
                <w:szCs w:val="21"/>
                <w:lang w:eastAsia="zh-CN"/>
                <w14:textFill>
                  <w14:solidFill>
                    <w14:schemeClr w14:val="tx1"/>
                  </w14:solidFill>
                </w14:textFill>
              </w:rPr>
            </w:pPr>
            <w:r>
              <w:rPr>
                <w:rFonts w:ascii="仿宋" w:hAnsi="仿宋" w:eastAsia="仿宋" w:cs="仿宋"/>
                <w:color w:val="000000" w:themeColor="text1"/>
                <w:sz w:val="21"/>
                <w:szCs w:val="21"/>
                <w:lang w:eastAsia="zh-CN"/>
                <w14:textFill>
                  <w14:solidFill>
                    <w14:schemeClr w14:val="tx1"/>
                  </w14:solidFill>
                </w14:textFill>
              </w:rPr>
              <w:t>同一拟投入人员同时具备上述多项不同证书的，不重复、不累计计分，仅计取其中一项得分；本项得分须由不同人员分别持证取得。</w:t>
            </w:r>
          </w:p>
          <w:p>
            <w:pPr>
              <w:pStyle w:val="41"/>
              <w:spacing w:line="360" w:lineRule="exact"/>
              <w:ind w:left="0" w:leftChars="0" w:firstLine="0" w:firstLineChars="0"/>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lang w:eastAsia="zh-CN"/>
                <w14:textFill>
                  <w14:solidFill>
                    <w14:schemeClr w14:val="tx1"/>
                  </w14:solidFill>
                </w14:textFill>
              </w:rPr>
              <w:t>注：每提供一个得2分，最高得6分，不提供则不得分。投标文件须同时提供人员相关证书复印件及距开标前6个月内（不含开标当月）任意1个月在投标人单位缴纳社保证明复印件，并加盖投标人公章。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同类业绩</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12分</w:t>
            </w:r>
          </w:p>
        </w:tc>
        <w:tc>
          <w:tcPr>
            <w:tcW w:w="5159" w:type="dxa"/>
            <w:vAlign w:val="center"/>
          </w:tcPr>
          <w:p>
            <w:pPr>
              <w:spacing w:after="0" w:line="300" w:lineRule="auto"/>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自2022年1月1日至响应截止日，服务商承担过类似网络安全服务等项目的，每项3分，最高12分。提供相应合同或验收报告等证明材料。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服务响应</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6</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spacing w:after="0" w:line="300" w:lineRule="auto"/>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承诺接到采购人通知后1小时内到场或线上响应并在2小时内提出处理意见的得6分；2小时内响应并在半个工作日内提出处理意见的得3分；超过3小时响应或未提供明确响应承诺的不得分。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报价部分</w:t>
            </w:r>
          </w:p>
        </w:tc>
        <w:tc>
          <w:tcPr>
            <w:tcW w:w="1701" w:type="dxa"/>
            <w:vAlign w:val="center"/>
          </w:tcPr>
          <w:p>
            <w:pPr>
              <w:spacing w:after="0" w:line="30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报价评审</w:t>
            </w:r>
          </w:p>
        </w:tc>
        <w:tc>
          <w:tcPr>
            <w:tcW w:w="850" w:type="dxa"/>
            <w:vAlign w:val="center"/>
          </w:tcPr>
          <w:p>
            <w:pPr>
              <w:spacing w:after="0" w:line="300" w:lineRule="auto"/>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20</w:t>
            </w:r>
            <w:r>
              <w:rPr>
                <w:rFonts w:hint="eastAsia" w:ascii="仿宋" w:hAnsi="仿宋" w:eastAsia="仿宋" w:cs="仿宋"/>
                <w:color w:val="000000" w:themeColor="text1"/>
                <w:szCs w:val="21"/>
                <w14:textFill>
                  <w14:solidFill>
                    <w14:schemeClr w14:val="tx1"/>
                  </w14:solidFill>
                </w14:textFill>
              </w:rPr>
              <w:t>分</w:t>
            </w:r>
          </w:p>
        </w:tc>
        <w:tc>
          <w:tcPr>
            <w:tcW w:w="5159" w:type="dxa"/>
            <w:vAlign w:val="center"/>
          </w:tcPr>
          <w:p>
            <w:pPr>
              <w:spacing w:after="0" w:line="300" w:lineRule="auto"/>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在满足采购需求且响应报价不超过最高限价的前提下，按价格评审公式计算。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响应报价超过人民币226100.00元最高限价的，按无效响应处理。</w:t>
            </w:r>
          </w:p>
        </w:tc>
      </w:tr>
    </w:tbl>
    <w:p>
      <w:pPr>
        <w:spacing w:after="80" w:line="360" w:lineRule="auto"/>
        <w:rPr>
          <w:rFonts w:hint="eastAsia"/>
          <w:color w:val="000000" w:themeColor="text1"/>
          <w:lang w:eastAsia="zh-CN"/>
          <w14:textFill>
            <w14:solidFill>
              <w14:schemeClr w14:val="tx1"/>
            </w14:solidFill>
          </w14:textFill>
        </w:rPr>
      </w:pPr>
    </w:p>
    <w:p>
      <w:pPr>
        <w:spacing w:after="160" w:line="278" w:lineRule="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br w:type="page"/>
      </w:r>
    </w:p>
    <w:p>
      <w:pPr>
        <w:spacing w:line="240" w:lineRule="auto"/>
        <w:rPr>
          <w:rFonts w:hint="eastAsia" w:ascii="黑体" w:hAnsi="黑体" w:eastAsia="黑体" w:cs="CESI黑体-GB2312"/>
          <w:color w:val="000000" w:themeColor="text1"/>
          <w:sz w:val="32"/>
          <w:szCs w:val="32"/>
          <w14:textFill>
            <w14:solidFill>
              <w14:schemeClr w14:val="tx1"/>
            </w14:solidFill>
          </w14:textFill>
        </w:rPr>
      </w:pPr>
      <w:r>
        <w:rPr>
          <w:rFonts w:hint="eastAsia" w:ascii="黑体" w:hAnsi="黑体" w:eastAsia="黑体" w:cs="CESI黑体-GB2312"/>
          <w:color w:val="000000" w:themeColor="text1"/>
          <w:sz w:val="32"/>
          <w:szCs w:val="32"/>
          <w14:textFill>
            <w14:solidFill>
              <w14:schemeClr w14:val="tx1"/>
            </w14:solidFill>
          </w14:textFill>
        </w:rPr>
        <w:t>附件1</w:t>
      </w:r>
    </w:p>
    <w:p>
      <w:pPr>
        <w:pStyle w:val="3"/>
        <w:spacing w:before="280" w:after="120"/>
        <w:jc w:val="center"/>
        <w:rPr>
          <w:rFonts w:hint="eastAsia" w:ascii="国标小标宋" w:hAnsi="国标小标宋" w:eastAsia="国标小标宋" w:cs="国标小标宋"/>
          <w:b/>
          <w:bCs/>
          <w:color w:val="000000" w:themeColor="text1"/>
          <w:sz w:val="44"/>
          <w:szCs w:val="44"/>
          <w14:textFill>
            <w14:solidFill>
              <w14:schemeClr w14:val="tx1"/>
            </w14:solidFill>
          </w14:textFill>
        </w:rPr>
      </w:pPr>
      <w:r>
        <w:rPr>
          <w:rFonts w:hint="eastAsia" w:ascii="国标小标宋" w:hAnsi="国标小标宋" w:eastAsia="国标小标宋" w:cs="国标小标宋"/>
          <w:color w:val="000000" w:themeColor="text1"/>
          <w:sz w:val="44"/>
          <w:szCs w:val="44"/>
          <w14:textFill>
            <w14:solidFill>
              <w14:schemeClr w14:val="tx1"/>
            </w14:solidFill>
          </w14:textFill>
        </w:rPr>
        <w:t>报价表</w:t>
      </w:r>
    </w:p>
    <w:tbl>
      <w:tblPr>
        <w:tblStyle w:val="18"/>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6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项目名称</w:t>
            </w:r>
          </w:p>
        </w:tc>
        <w:tc>
          <w:tcPr>
            <w:tcW w:w="6350" w:type="dxa"/>
            <w:vAlign w:val="center"/>
          </w:tcPr>
          <w:p>
            <w:pPr>
              <w:spacing w:after="0" w:line="300" w:lineRule="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东莞市交通运输局网络安全服务项目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服务商名称</w:t>
            </w:r>
          </w:p>
        </w:tc>
        <w:tc>
          <w:tcPr>
            <w:tcW w:w="6350" w:type="dxa"/>
            <w:vAlign w:val="center"/>
          </w:tcPr>
          <w:p>
            <w:pPr>
              <w:spacing w:after="0" w:line="300" w:lineRule="auto"/>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6" w:hRule="atLeast"/>
          <w:jc w:val="center"/>
        </w:trPr>
        <w:tc>
          <w:tcPr>
            <w:tcW w:w="2494" w:type="dxa"/>
            <w:vAlign w:val="center"/>
          </w:tcPr>
          <w:p>
            <w:pPr>
              <w:spacing w:after="0" w:line="30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服务总报价（含税）</w:t>
            </w:r>
          </w:p>
        </w:tc>
        <w:tc>
          <w:tcPr>
            <w:tcW w:w="6350" w:type="dxa"/>
            <w:vAlign w:val="center"/>
          </w:tcPr>
          <w:p>
            <w:pPr>
              <w:spacing w:after="0" w:line="300" w:lineRule="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小写：￥__________ 元；</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大写：____________________________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服务周期</w:t>
            </w:r>
          </w:p>
        </w:tc>
        <w:tc>
          <w:tcPr>
            <w:tcW w:w="6350" w:type="dxa"/>
            <w:vAlign w:val="center"/>
          </w:tcPr>
          <w:p>
            <w:pPr>
              <w:spacing w:after="0" w:line="300" w:lineRule="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2026年10月1日至2027年9月30日</w:t>
            </w:r>
            <w:bookmarkStart w:id="0" w:name="_GoBack"/>
            <w:bookmarkEnd w:id="0"/>
          </w:p>
        </w:tc>
      </w:tr>
    </w:tbl>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说明：</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1.本次采购采用填报项目总价的方式进行报价，填报时保留小数点后两位；</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2.本报价表是项目需求书确定服务范围内全部服务内容的价格体现，报价应包含项目投入的各项费用及合同实施过程中不可预见费用等；</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3.不提供此表格将被视为没有实质性响应，其响应文件将被拒绝。</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服务商全称（盖章）：</w:t>
      </w: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服务商代表（签字）：</w:t>
      </w: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日 期：</w:t>
      </w: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15"/>
        <w:rPr>
          <w:rFonts w:hint="eastAsia"/>
          <w:color w:val="000000" w:themeColor="text1"/>
          <w:lang w:eastAsia="zh-CN"/>
          <w14:textFill>
            <w14:solidFill>
              <w14:schemeClr w14:val="tx1"/>
            </w14:solidFill>
          </w14:textFill>
        </w:rPr>
      </w:pPr>
    </w:p>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240" w:lineRule="auto"/>
        <w:rPr>
          <w:rFonts w:hint="eastAsia" w:ascii="黑体" w:hAnsi="黑体" w:eastAsia="黑体" w:cs="CESI黑体-GB2312"/>
          <w:color w:val="000000" w:themeColor="text1"/>
          <w:sz w:val="32"/>
          <w:szCs w:val="32"/>
          <w:lang w:eastAsia="zh-CN"/>
          <w14:textFill>
            <w14:solidFill>
              <w14:schemeClr w14:val="tx1"/>
            </w14:solidFill>
          </w14:textFill>
        </w:rPr>
      </w:pPr>
      <w:r>
        <w:rPr>
          <w:rFonts w:hint="eastAsia" w:ascii="黑体" w:hAnsi="黑体" w:eastAsia="黑体" w:cs="CESI黑体-GB2312"/>
          <w:color w:val="000000" w:themeColor="text1"/>
          <w:sz w:val="32"/>
          <w:szCs w:val="32"/>
          <w:lang w:eastAsia="zh-CN"/>
          <w14:textFill>
            <w14:solidFill>
              <w14:schemeClr w14:val="tx1"/>
            </w14:solidFill>
          </w14:textFill>
        </w:rPr>
        <w:t>附件2</w:t>
      </w:r>
    </w:p>
    <w:p>
      <w:pPr>
        <w:pStyle w:val="3"/>
        <w:spacing w:before="280" w:after="120"/>
        <w:jc w:val="center"/>
        <w:rPr>
          <w:rFonts w:hint="eastAsia" w:ascii="国标小标宋" w:hAnsi="国标小标宋" w:eastAsia="国标小标宋" w:cs="国标小标宋"/>
          <w:b/>
          <w:bCs/>
          <w:color w:val="000000" w:themeColor="text1"/>
          <w:sz w:val="44"/>
          <w:szCs w:val="44"/>
          <w:lang w:eastAsia="zh-CN"/>
          <w14:textFill>
            <w14:solidFill>
              <w14:schemeClr w14:val="tx1"/>
            </w14:solidFill>
          </w14:textFill>
        </w:rPr>
      </w:pPr>
      <w:r>
        <w:rPr>
          <w:rFonts w:hint="eastAsia" w:ascii="国标小标宋" w:hAnsi="国标小标宋" w:eastAsia="国标小标宋" w:cs="国标小标宋"/>
          <w:color w:val="000000" w:themeColor="text1"/>
          <w:sz w:val="44"/>
          <w:szCs w:val="44"/>
          <w:lang w:eastAsia="zh-CN"/>
          <w14:textFill>
            <w14:solidFill>
              <w14:schemeClr w14:val="tx1"/>
            </w14:solidFill>
          </w14:textFill>
        </w:rPr>
        <w:t>资格条件承诺函</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240" w:lineRule="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东莞市交通运输局：</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我方参加</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东莞市交通运输局网络安全服务项目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采购，现郑重承诺，参加本次政府采购活动前三年内：</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我方符合《中华人民共和国政府采购法》第22条规定的资格条件，即：（1）我方具有独立承担民事责任的能力；（2）我方具有良好的商业信誉和健全的财务会计制度；（3）我方具有履行合同所必需的设备和专业技术能力；（4）我方有依法缴纳税收和社会保障资金的良好记录；（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pPr>
        <w:spacing w:line="24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2.到本项目采购截止时间为止，我方未被“信用中国”（www.creditchina.gov.cn）、中国政府采购网（www.ccgp.gov.cn）列入失信被执行人名单、重大税收违法案件当事人名单、政府采购严重违法失信行为记录名单。</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3.我方与参加本次项目同一合同项下政府采购活动的其他服务商不存在单位负责人为同一人或者直接控股、管理关系。</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4.我方不属于公益一类事业单位。</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以上承诺如有虚假，愿接受取消我方任何资格（投标/成交/签订合同）及其他任何形式的处理。</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服务商全称（盖章）：</w:t>
      </w: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法定代表人或其授权代表（签字或盖章）：</w:t>
      </w: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日期：     年   月   日</w:t>
      </w:r>
    </w:p>
    <w:p>
      <w:pPr>
        <w:spacing w:line="240" w:lineRule="auto"/>
        <w:rPr>
          <w:rFonts w:hint="eastAsia" w:ascii="黑体" w:hAnsi="黑体" w:eastAsia="黑体" w:cs="CESI黑体-GB2312"/>
          <w:color w:val="000000" w:themeColor="text1"/>
          <w:sz w:val="32"/>
          <w:szCs w:val="32"/>
          <w:lang w:eastAsia="zh-CN"/>
          <w14:textFill>
            <w14:solidFill>
              <w14:schemeClr w14:val="tx1"/>
            </w14:solidFill>
          </w14:textFill>
        </w:rPr>
      </w:pPr>
      <w:r>
        <w:rPr>
          <w:rFonts w:hint="eastAsia" w:ascii="黑体" w:hAnsi="黑体" w:eastAsia="黑体" w:cs="CESI黑体-GB2312"/>
          <w:color w:val="000000" w:themeColor="text1"/>
          <w:sz w:val="32"/>
          <w:szCs w:val="32"/>
          <w:lang w:eastAsia="zh-CN"/>
          <w14:textFill>
            <w14:solidFill>
              <w14:schemeClr w14:val="tx1"/>
            </w14:solidFill>
          </w14:textFill>
        </w:rPr>
        <w:t>附件3</w:t>
      </w:r>
    </w:p>
    <w:p>
      <w:pPr>
        <w:pStyle w:val="3"/>
        <w:spacing w:before="280" w:after="120"/>
        <w:jc w:val="center"/>
        <w:rPr>
          <w:rFonts w:hint="eastAsia" w:ascii="国标小标宋" w:hAnsi="国标小标宋" w:eastAsia="国标小标宋" w:cs="国标小标宋"/>
          <w:b/>
          <w:bCs/>
          <w:color w:val="000000" w:themeColor="text1"/>
          <w:sz w:val="44"/>
          <w:szCs w:val="44"/>
          <w:lang w:eastAsia="zh-CN"/>
          <w14:textFill>
            <w14:solidFill>
              <w14:schemeClr w14:val="tx1"/>
            </w14:solidFill>
          </w14:textFill>
        </w:rPr>
      </w:pPr>
      <w:r>
        <w:rPr>
          <w:rFonts w:hint="eastAsia" w:ascii="国标小标宋" w:hAnsi="国标小标宋" w:eastAsia="国标小标宋" w:cs="国标小标宋"/>
          <w:color w:val="000000" w:themeColor="text1"/>
          <w:sz w:val="44"/>
          <w:szCs w:val="44"/>
          <w:lang w:eastAsia="zh-CN"/>
          <w14:textFill>
            <w14:solidFill>
              <w14:schemeClr w14:val="tx1"/>
            </w14:solidFill>
          </w14:textFill>
        </w:rPr>
        <w:t>法定代表人授权书</w:t>
      </w:r>
    </w:p>
    <w:p>
      <w:pPr>
        <w:spacing w:line="240" w:lineRule="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东莞市交通运输局：</w:t>
      </w:r>
    </w:p>
    <w:p>
      <w:pPr>
        <w:spacing w:line="240" w:lineRule="auto"/>
        <w:ind w:firstLine="4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color w:val="000000" w:themeColor="text1"/>
          <w:sz w:val="22"/>
          <w:u w:val="single"/>
          <w:lang w:eastAsia="zh-CN"/>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（服务商全称）法定代表人</w:t>
      </w:r>
      <w:r>
        <w:rPr>
          <w:color w:val="000000" w:themeColor="text1"/>
          <w:sz w:val="22"/>
          <w:u w:val="single"/>
          <w:lang w:eastAsia="zh-CN"/>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授权</w:t>
      </w:r>
      <w:r>
        <w:rPr>
          <w:color w:val="000000" w:themeColor="text1"/>
          <w:sz w:val="22"/>
          <w:u w:val="single"/>
          <w:lang w:eastAsia="zh-CN"/>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（全权代表姓名）为全权代表，参加贵局组织的</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东莞市交通运输局网络安全服务项目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采购活动，全权代表我方处理采购活动中的一切事宜。</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法定代表人（签字或盖章）：</w:t>
      </w: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服务商全称（公章）：</w:t>
      </w:r>
    </w:p>
    <w:p>
      <w:pPr>
        <w:spacing w:line="240" w:lineRule="auto"/>
        <w:ind w:firstLine="640" w:firstLineChars="20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日 期：</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授权代表姓名：</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职务：</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详细通讯地址：</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电话：</w:t>
      </w:r>
    </w:p>
    <w:p>
      <w:pPr>
        <w:spacing w:line="24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传真：</w:t>
      </w:r>
    </w:p>
    <w:p>
      <w:pPr>
        <w:spacing w:line="240" w:lineRule="auto"/>
        <w:ind w:firstLine="640" w:firstLineChars="200"/>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邮政编码：</w:t>
      </w:r>
      <w:r>
        <w:rPr>
          <w:color w:val="000000" w:themeColor="text1"/>
          <w:sz w:val="22"/>
          <w:u w:val="single"/>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 xml:space="preserve">       </w:t>
      </w:r>
      <w:r>
        <w:rPr>
          <w:color w:val="000000" w:themeColor="text1"/>
          <w:sz w:val="2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499110</wp:posOffset>
                </wp:positionV>
                <wp:extent cx="5800090" cy="2431415"/>
                <wp:effectExtent l="5080" t="4445" r="5080" b="21590"/>
                <wp:wrapNone/>
                <wp:docPr id="1029" name="矩形 1029"/>
                <wp:cNvGraphicFramePr/>
                <a:graphic xmlns:a="http://schemas.openxmlformats.org/drawingml/2006/main">
                  <a:graphicData uri="http://schemas.microsoft.com/office/word/2010/wordprocessingShape">
                    <wps:wsp>
                      <wps:cNvSpPr/>
                      <wps:spPr>
                        <a:xfrm>
                          <a:off x="0" y="0"/>
                          <a:ext cx="5800090" cy="24314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lang w:eastAsia="zh-CN"/>
                              </w:rPr>
                            </w:pPr>
                            <w:r>
                              <w:rPr>
                                <w:rFonts w:hint="eastAsia" w:ascii="新宋体" w:hAnsi="新宋体" w:eastAsia="新宋体"/>
                                <w:sz w:val="22"/>
                                <w:lang w:eastAsia="zh-CN"/>
                              </w:rPr>
                              <w:t>授权代表身份证（正反面）：</w:t>
                            </w:r>
                          </w:p>
                        </w:txbxContent>
                      </wps:txbx>
                      <wps:bodyPr upright="true"/>
                    </wps:wsp>
                  </a:graphicData>
                </a:graphic>
              </wp:anchor>
            </w:drawing>
          </mc:Choice>
          <mc:Fallback>
            <w:pict>
              <v:rect id="_x0000_s1026" o:spid="_x0000_s1026" o:spt="1" style="position:absolute;left:0pt;margin-left:4.45pt;margin-top:39.3pt;height:191.45pt;width:456.7pt;z-index:251659264;mso-width-relative:page;mso-height-relative:page;" fillcolor="#FFFFFF" filled="t" stroked="t" coordsize="21600,21600" o:gfxdata="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faB8G1wAAAAgBAAAPAAAAAAAAAAEAIAAAADgAAABk&#10;cnMvZG93bnJldi54bWxQSwECFAAUAAAACACHTuJAPfpGzPEBAADzAwAADgAAAAAAAAABACAAAAA8&#10;AQAAZHJzL2Uyb0RvYy54bWxQSwUGAAAAAAYABgBZAQAAnwUAAAAA&#10;">
                <v:fill on="t" focussize="0,0"/>
                <v:stroke color="#000000" joinstyle="miter"/>
                <v:imagedata o:title=""/>
                <o:lock v:ext="edit" aspectratio="f"/>
                <v:textbox>
                  <w:txbxContent>
                    <w:p>
                      <w:pPr>
                        <w:rPr>
                          <w:rFonts w:hint="eastAsia"/>
                          <w:lang w:eastAsia="zh-CN"/>
                        </w:rPr>
                      </w:pPr>
                      <w:r>
                        <w:rPr>
                          <w:rFonts w:hint="eastAsia" w:ascii="新宋体" w:hAnsi="新宋体" w:eastAsia="新宋体"/>
                          <w:sz w:val="22"/>
                          <w:lang w:eastAsia="zh-CN"/>
                        </w:rPr>
                        <w:t>授权代表身份证（正反面）：</w:t>
                      </w:r>
                    </w:p>
                  </w:txbxContent>
                </v:textbox>
              </v:rect>
            </w:pict>
          </mc:Fallback>
        </mc:AlternateContent>
      </w:r>
    </w:p>
    <w:p>
      <w:pPr>
        <w:pStyle w:val="2"/>
        <w:ind w:left="640" w:hanging="64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color w:val="000000" w:themeColor="text1"/>
          <w14:textFill>
            <w14:solidFill>
              <w14:schemeClr w14:val="tx1"/>
            </w14:solidFill>
          </w14:textFill>
        </w:rPr>
      </w:pPr>
    </w:p>
    <w:sectPr>
      <w:footerReference r:id="rId5" w:type="default"/>
      <w:pgSz w:w="11906" w:h="16838"/>
      <w:pgMar w:top="1440" w:right="1440" w:bottom="1440" w:left="1440" w:header="709"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PingFang SC">
    <w:altName w:val="汉仪新人文宋简"/>
    <w:panose1 w:val="00000000000000000000"/>
    <w:charset w:val="86"/>
    <w:family w:val="auto"/>
    <w:pitch w:val="default"/>
    <w:sig w:usb0="00000000" w:usb1="00000000" w:usb2="00000017" w:usb3="00000000" w:csb0="00040001" w:csb1="00000000"/>
  </w:font>
  <w:font w:name="等线 Light">
    <w:altName w:val="汉仪中圆B5"/>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国标小标宋">
    <w:panose1 w:val="02000500000000000000"/>
    <w:charset w:val="86"/>
    <w:family w:val="auto"/>
    <w:pitch w:val="default"/>
    <w:sig w:usb0="00000001" w:usb1="08000000" w:usb2="00000000" w:usb3="00000000" w:csb0="00060007"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新宋体">
    <w:altName w:val="方正书宋_GBK"/>
    <w:panose1 w:val="02010609030101010101"/>
    <w:charset w:val="86"/>
    <w:family w:val="modern"/>
    <w:pitch w:val="default"/>
    <w:sig w:usb0="00000000" w:usb1="00000000" w:usb2="00000016" w:usb3="00000000" w:csb0="00040001" w:csb1="00000000"/>
  </w:font>
  <w:font w:name="URW Bookman">
    <w:altName w:val="Times New Roman"/>
    <w:panose1 w:val="00000400000000000000"/>
    <w:charset w:val="00"/>
    <w:family w:val="auto"/>
    <w:pitch w:val="default"/>
    <w:sig w:usb0="00000000" w:usb1="00000000" w:usb2="00000000" w:usb3="00000000" w:csb0="0000000D"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Light">
    <w:altName w:val="URW Bookman"/>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汉仪仿宋S">
    <w:panose1 w:val="00020600040101000101"/>
    <w:charset w:val="86"/>
    <w:family w:val="auto"/>
    <w:pitch w:val="default"/>
    <w:sig w:usb0="A00002BF" w:usb1="38CF7CFA" w:usb2="00000016" w:usb3="00000000" w:csb0="0004009F"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1D7B0"/>
    <w:multiLevelType w:val="singleLevel"/>
    <w:tmpl w:val="A491D7B0"/>
    <w:lvl w:ilvl="0" w:tentative="0">
      <w:start w:val="1"/>
      <w:numFmt w:val="decimal"/>
      <w:suff w:val="nothing"/>
      <w:lvlText w:val="%1．"/>
      <w:lvlJc w:val="left"/>
      <w:pPr>
        <w:ind w:left="0" w:firstLine="400"/>
      </w:pPr>
      <w:rPr>
        <w:rFonts w:hint="default"/>
      </w:rPr>
    </w:lvl>
  </w:abstractNum>
  <w:abstractNum w:abstractNumId="1">
    <w:nsid w:val="1F423829"/>
    <w:multiLevelType w:val="singleLevel"/>
    <w:tmpl w:val="1F423829"/>
    <w:lvl w:ilvl="0" w:tentative="0">
      <w:start w:val="1"/>
      <w:numFmt w:val="decimal"/>
      <w:suff w:val="nothing"/>
      <w:lvlText w:val="%1"/>
      <w:lvlJc w:val="left"/>
      <w:pPr>
        <w:ind w:left="0" w:firstLine="40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3F"/>
    <w:rsid w:val="00026B76"/>
    <w:rsid w:val="00051B5F"/>
    <w:rsid w:val="000C2F7B"/>
    <w:rsid w:val="000D6890"/>
    <w:rsid w:val="000E6E54"/>
    <w:rsid w:val="001727AE"/>
    <w:rsid w:val="001904BE"/>
    <w:rsid w:val="001D3F3F"/>
    <w:rsid w:val="001F4BA6"/>
    <w:rsid w:val="002974C3"/>
    <w:rsid w:val="002D3EA7"/>
    <w:rsid w:val="00300341"/>
    <w:rsid w:val="0030123F"/>
    <w:rsid w:val="003019E3"/>
    <w:rsid w:val="00315F01"/>
    <w:rsid w:val="0041410E"/>
    <w:rsid w:val="00462DAC"/>
    <w:rsid w:val="00465E2D"/>
    <w:rsid w:val="00484D56"/>
    <w:rsid w:val="00596D62"/>
    <w:rsid w:val="005B101F"/>
    <w:rsid w:val="005C3FEC"/>
    <w:rsid w:val="005E07F0"/>
    <w:rsid w:val="00695F19"/>
    <w:rsid w:val="00767477"/>
    <w:rsid w:val="007946AB"/>
    <w:rsid w:val="007F7BEB"/>
    <w:rsid w:val="00836481"/>
    <w:rsid w:val="008C7E50"/>
    <w:rsid w:val="008F1F5F"/>
    <w:rsid w:val="009106A6"/>
    <w:rsid w:val="009356DE"/>
    <w:rsid w:val="009B727E"/>
    <w:rsid w:val="009D55DC"/>
    <w:rsid w:val="00A46438"/>
    <w:rsid w:val="00AA5101"/>
    <w:rsid w:val="00B92768"/>
    <w:rsid w:val="00BE53A1"/>
    <w:rsid w:val="00BF5A6C"/>
    <w:rsid w:val="00CB7673"/>
    <w:rsid w:val="00CE59AA"/>
    <w:rsid w:val="00D12851"/>
    <w:rsid w:val="00D363C4"/>
    <w:rsid w:val="00DE6BED"/>
    <w:rsid w:val="00FC3F7D"/>
    <w:rsid w:val="42F99344"/>
    <w:rsid w:val="5BBBC5FB"/>
    <w:rsid w:val="E3FF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20" w:line="276" w:lineRule="auto"/>
    </w:pPr>
    <w:rPr>
      <w:rFonts w:ascii="PingFang SC" w:hAnsi="PingFang SC" w:eastAsia="PingFang SC" w:cstheme="minorBidi"/>
      <w:color w:val="1F1F1F"/>
      <w:sz w:val="21"/>
      <w:szCs w:val="22"/>
      <w:lang w:val="en-US" w:eastAsia="en-US" w:bidi="ar-SA"/>
    </w:rPr>
  </w:style>
  <w:style w:type="paragraph" w:styleId="3">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25"/>
    <w:semiHidden/>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40"/>
    <w:qFormat/>
    <w:uiPriority w:val="0"/>
    <w:pPr>
      <w:ind w:left="480" w:hanging="480" w:hangingChars="200"/>
    </w:pPr>
    <w:rPr>
      <w:sz w:val="24"/>
    </w:rPr>
  </w:style>
  <w:style w:type="paragraph" w:styleId="12">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oc 2"/>
    <w:basedOn w:val="1"/>
    <w:next w:val="1"/>
    <w:unhideWhenUsed/>
    <w:qFormat/>
    <w:uiPriority w:val="39"/>
    <w:pPr>
      <w:ind w:left="420" w:leftChars="200"/>
    </w:p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6"/>
    <w:semiHidden/>
    <w:qFormat/>
    <w:uiPriority w:val="9"/>
    <w:rPr>
      <w:rFonts w:cstheme="majorBidi"/>
      <w:color w:val="2F5597" w:themeColor="accent1" w:themeShade="BF"/>
      <w:sz w:val="28"/>
      <w:szCs w:val="28"/>
    </w:rPr>
  </w:style>
  <w:style w:type="character" w:customStyle="1" w:styleId="24">
    <w:name w:val="标题 5 字符"/>
    <w:basedOn w:val="19"/>
    <w:link w:val="7"/>
    <w:semiHidden/>
    <w:qFormat/>
    <w:uiPriority w:val="9"/>
    <w:rPr>
      <w:rFonts w:cstheme="majorBidi"/>
      <w:color w:val="2F5597" w:themeColor="accent1" w:themeShade="BF"/>
      <w:sz w:val="24"/>
    </w:rPr>
  </w:style>
  <w:style w:type="character" w:customStyle="1" w:styleId="25">
    <w:name w:val="标题 6 字符"/>
    <w:basedOn w:val="19"/>
    <w:link w:val="8"/>
    <w:semiHidden/>
    <w:qFormat/>
    <w:uiPriority w:val="9"/>
    <w:rPr>
      <w:rFonts w:cstheme="majorBidi"/>
      <w:b/>
      <w:bCs/>
      <w:color w:val="2F5597"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9"/>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明显参考1"/>
    <w:basedOn w:val="19"/>
    <w:qFormat/>
    <w:uiPriority w:val="32"/>
    <w:rPr>
      <w:b/>
      <w:bCs/>
      <w:smallCaps/>
      <w:color w:val="2F5597"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 w:type="character" w:customStyle="1" w:styleId="40">
    <w:name w:val="正文文本缩进 字符"/>
    <w:basedOn w:val="19"/>
    <w:link w:val="2"/>
    <w:qFormat/>
    <w:uiPriority w:val="0"/>
    <w:rPr>
      <w:rFonts w:ascii="PingFang SC" w:hAnsi="PingFang SC" w:eastAsia="PingFang SC"/>
      <w:color w:val="1F1F1F"/>
      <w:kern w:val="0"/>
      <w:sz w:val="24"/>
      <w:szCs w:val="22"/>
      <w:lang w:eastAsia="en-US"/>
      <w14:ligatures w14:val="none"/>
    </w:rPr>
  </w:style>
  <w:style w:type="paragraph" w:customStyle="1" w:styleId="41">
    <w:name w:val="正文缩进2格"/>
    <w:basedOn w:val="1"/>
    <w:qFormat/>
    <w:uiPriority w:val="0"/>
    <w:pPr>
      <w:spacing w:line="600" w:lineRule="exact"/>
      <w:ind w:left="360" w:leftChars="400" w:firstLine="639" w:firstLineChars="206"/>
    </w:pPr>
    <w:rPr>
      <w:rFonts w:ascii="仿宋_GB2312" w:hAnsi="宋体" w:eastAsia="仿宋_GB2312" w:cs="宋体"/>
      <w:sz w:val="31"/>
      <w:szCs w:val="28"/>
    </w:rPr>
  </w:style>
  <w:style w:type="paragraph" w:customStyle="1" w:styleId="42">
    <w:name w:val="Revision"/>
    <w:hidden/>
    <w:unhideWhenUsed/>
    <w:qFormat/>
    <w:uiPriority w:val="99"/>
    <w:pPr>
      <w:spacing w:after="0" w:line="240" w:lineRule="auto"/>
    </w:pPr>
    <w:rPr>
      <w:rFonts w:ascii="PingFang SC" w:hAnsi="PingFang SC" w:eastAsia="PingFang SC" w:cstheme="minorBidi"/>
      <w:color w:val="1F1F1F"/>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3252</Words>
  <Characters>3384</Characters>
  <Lines>211</Lines>
  <Paragraphs>214</Paragraphs>
  <TotalTime>0</TotalTime>
  <ScaleCrop>false</ScaleCrop>
  <LinksUpToDate>false</LinksUpToDate>
  <CharactersWithSpaces>6422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2026-09-02T06:07:00Z</dcterms:created>
  <dc:creator>imimim</dc:creator>
  <cp:lastModifiedBy>len5</cp:lastModifiedBy>
  <dcterms:modified xsi:type="dcterms:W3CDTF">2026-09-03T20:26:27Z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