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hint="eastAsia" w:ascii="方正小标宋简体" w:hAnsi="国标小标宋" w:eastAsia="方正小标宋简体" w:cs="国标小标宋"/>
          <w:bCs/>
          <w:color w:val="000000" w:themeColor="text1"/>
          <w:sz w:val="44"/>
          <w:szCs w:val="44"/>
          <w:lang w:eastAsia="zh-CN"/>
          <w14:textFill>
            <w14:solidFill>
              <w14:schemeClr w14:val="tx1"/>
            </w14:solidFill>
          </w14:textFill>
        </w:rPr>
      </w:pPr>
      <w:r>
        <w:rPr>
          <w:rFonts w:hint="eastAsia" w:ascii="方正小标宋简体" w:hAnsi="国标小标宋" w:eastAsia="方正小标宋简体" w:cs="国标小标宋"/>
          <w:bCs/>
          <w:color w:val="000000" w:themeColor="text1"/>
          <w:sz w:val="44"/>
          <w:szCs w:val="44"/>
          <w:lang w:eastAsia="zh-CN"/>
          <w14:textFill>
            <w14:solidFill>
              <w14:schemeClr w14:val="tx1"/>
            </w14:solidFill>
          </w14:textFill>
        </w:rPr>
        <w:t>东莞市交通运输局网络安全等级保护测评和商用密码应用安全性评测服务项目</w:t>
      </w:r>
    </w:p>
    <w:p>
      <w:pPr>
        <w:spacing w:after="0" w:line="240" w:lineRule="auto"/>
        <w:jc w:val="center"/>
        <w:rPr>
          <w:rFonts w:hint="eastAsia" w:ascii="国标小标宋" w:hAnsi="国标小标宋" w:eastAsia="国标小标宋" w:cs="国标小标宋"/>
          <w:bCs/>
          <w:color w:val="000000" w:themeColor="text1"/>
          <w:sz w:val="44"/>
          <w:szCs w:val="44"/>
          <w:lang w:eastAsia="zh-CN"/>
          <w14:textFill>
            <w14:solidFill>
              <w14:schemeClr w14:val="tx1"/>
            </w14:solidFill>
          </w14:textFill>
        </w:rPr>
      </w:pPr>
      <w:r>
        <w:rPr>
          <w:rFonts w:hint="eastAsia" w:ascii="方正小标宋简体" w:hAnsi="国标小标宋" w:eastAsia="方正小标宋简体" w:cs="国标小标宋"/>
          <w:bCs/>
          <w:color w:val="000000" w:themeColor="text1"/>
          <w:sz w:val="44"/>
          <w:szCs w:val="44"/>
          <w:lang w:eastAsia="zh-CN"/>
          <w14:textFill>
            <w14:solidFill>
              <w14:schemeClr w14:val="tx1"/>
            </w14:solidFill>
          </w14:textFill>
        </w:rPr>
        <w:t>采购需求书</w:t>
      </w:r>
    </w:p>
    <w:p>
      <w:pPr>
        <w:spacing w:after="80" w:line="360" w:lineRule="auto"/>
        <w:rPr>
          <w:rFonts w:hint="eastAsia"/>
          <w:color w:val="000000" w:themeColor="text1"/>
          <w:lang w:eastAsia="zh-CN"/>
          <w14:textFill>
            <w14:solidFill>
              <w14:schemeClr w14:val="tx1"/>
            </w14:solidFill>
          </w14:textFill>
        </w:rPr>
      </w:pPr>
    </w:p>
    <w:p>
      <w:pPr>
        <w:pStyle w:val="3"/>
        <w:spacing w:before="0" w:after="0" w:line="540" w:lineRule="exact"/>
        <w:ind w:firstLine="640" w:firstLineChars="200"/>
        <w:rPr>
          <w:rFonts w:hint="eastAsia" w:ascii="黑体" w:hAnsi="黑体" w:eastAsia="黑体" w:cs="国标黑体"/>
          <w:b/>
          <w:bCs/>
          <w:color w:val="000000" w:themeColor="text1"/>
          <w:sz w:val="32"/>
          <w:szCs w:val="32"/>
          <w:lang w:eastAsia="zh-CN"/>
          <w14:textFill>
            <w14:solidFill>
              <w14:schemeClr w14:val="tx1"/>
            </w14:solidFill>
          </w14:textFill>
        </w:rPr>
      </w:pPr>
      <w:r>
        <w:rPr>
          <w:rFonts w:hint="eastAsia" w:ascii="黑体" w:hAnsi="黑体" w:eastAsia="黑体" w:cs="国标黑体"/>
          <w:color w:val="000000" w:themeColor="text1"/>
          <w:sz w:val="32"/>
          <w:szCs w:val="32"/>
          <w:lang w:eastAsia="zh-CN"/>
          <w14:textFill>
            <w14:solidFill>
              <w14:schemeClr w14:val="tx1"/>
            </w14:solidFill>
          </w14:textFill>
        </w:rPr>
        <w:t>一、项目基本情况</w:t>
      </w:r>
    </w:p>
    <w:p>
      <w:pPr>
        <w:spacing w:after="0" w:line="540" w:lineRule="exact"/>
        <w:ind w:firstLine="640" w:firstLineChars="200"/>
        <w:rPr>
          <w:rFonts w:hint="eastAsia" w:ascii="楷体_GB2312" w:hAnsi="楷体_GB2312" w:eastAsia="楷体_GB2312" w:cs="楷体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color w:val="000000" w:themeColor="text1"/>
          <w:sz w:val="32"/>
          <w:szCs w:val="32"/>
          <w:lang w:eastAsia="zh-CN"/>
          <w14:textFill>
            <w14:solidFill>
              <w14:schemeClr w14:val="tx1"/>
            </w14:solidFill>
          </w14:textFill>
        </w:rPr>
        <w:t>（一）网络安全等级保护测评</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网络安全等级保护是我国信息安全保障的一项基本制度，是国家通过制定统一的信息安全等级保护管理规范和技术标准，组织公民、法人和其他组织对信息系统分等级实行安全保护，对等级保护工作的实施进行监督、管理。</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根据《信息安全等级保护管理办法》规定，信息系统建设完成后，运营、使用单位或者其主管部门应当选择符合本办法规定条件的测评机构，依据《信息系统安全等级保护测评要求》等技术标准，定期对信息系统安全等级状况开展等级测评。第三级信息系统应当每年至少进行一次等级测评。因此，我局需对信息安全等级（三级）的信息系统开展网络安全等级保护测评。</w:t>
      </w:r>
    </w:p>
    <w:p>
      <w:pPr>
        <w:spacing w:after="0" w:line="540" w:lineRule="exact"/>
        <w:ind w:firstLine="640" w:firstLineChars="200"/>
        <w:rPr>
          <w:rFonts w:hint="eastAsia" w:ascii="楷体_GB2312" w:hAnsi="楷体_GB2312" w:eastAsia="楷体_GB2312" w:cs="楷体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color w:val="000000" w:themeColor="text1"/>
          <w:sz w:val="32"/>
          <w:szCs w:val="32"/>
          <w:lang w:eastAsia="zh-CN"/>
          <w14:textFill>
            <w14:solidFill>
              <w14:schemeClr w14:val="tx1"/>
            </w14:solidFill>
          </w14:textFill>
        </w:rPr>
        <w:t>（二）商用密码应用安全性评测</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密码是保障网络安全的核心技术和基础支撑，是解决网络与信息安全问题最有效、最可靠、最经济的手段。近年来国家对重要领域商用密码的应用、基础支撑能力的提升以及安全性评估、审查制度等不断提出明确要求。</w:t>
      </w:r>
    </w:p>
    <w:p>
      <w:pPr>
        <w:spacing w:after="0" w:line="540" w:lineRule="exact"/>
        <w:ind w:firstLine="640" w:firstLineChars="200"/>
        <w:rPr>
          <w:rFonts w:hint="eastAsia" w:ascii="仿宋_GB2312" w:hAnsi="仿宋" w:eastAsia="仿宋_GB2312" w:cs="仿宋"/>
          <w:color w:val="000000" w:themeColor="text1"/>
          <w:szCs w:val="21"/>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根据《商用密码应用安全性评估管理办法》规定，重要网络与信息系统建成运行后，其运营者应当自行或者委托商用密码检测机构每年至少开展一次商用密码应用安全性评估，确保商用密码保障系统正确有效运行。因此，我局需对信息安全等级（三级）的信息系统开展商用密码应用安全性评测工作。</w:t>
      </w:r>
    </w:p>
    <w:tbl>
      <w:tblPr>
        <w:tblStyle w:val="18"/>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7"/>
        <w:gridCol w:w="6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1927" w:type="dxa"/>
            <w:vAlign w:val="center"/>
          </w:tcPr>
          <w:p>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b/>
                <w:color w:val="000000" w:themeColor="text1"/>
                <w:sz w:val="28"/>
                <w:szCs w:val="28"/>
                <w14:textFill>
                  <w14:solidFill>
                    <w14:schemeClr w14:val="tx1"/>
                  </w14:solidFill>
                </w14:textFill>
              </w:rPr>
              <w:t>事项</w:t>
            </w:r>
          </w:p>
        </w:tc>
        <w:tc>
          <w:tcPr>
            <w:tcW w:w="6917" w:type="dxa"/>
            <w:vAlign w:val="center"/>
          </w:tcPr>
          <w:p>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b/>
                <w:color w:val="000000" w:themeColor="text1"/>
                <w:sz w:val="28"/>
                <w:szCs w:val="28"/>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 w:hRule="atLeast"/>
          <w:jc w:val="center"/>
        </w:trPr>
        <w:tc>
          <w:tcPr>
            <w:tcW w:w="1927" w:type="dxa"/>
            <w:vAlign w:val="center"/>
          </w:tcPr>
          <w:p>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采购人</w:t>
            </w:r>
          </w:p>
        </w:tc>
        <w:tc>
          <w:tcPr>
            <w:tcW w:w="6917" w:type="dxa"/>
            <w:vAlign w:val="center"/>
          </w:tcPr>
          <w:p>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东莞市交通运输局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7" w:type="dxa"/>
            <w:vAlign w:val="center"/>
          </w:tcPr>
          <w:p>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项目名称</w:t>
            </w:r>
          </w:p>
        </w:tc>
        <w:tc>
          <w:tcPr>
            <w:tcW w:w="6917" w:type="dxa"/>
            <w:vAlign w:val="center"/>
          </w:tcPr>
          <w:p>
            <w:pPr>
              <w:spacing w:after="0" w:line="300" w:lineRule="auto"/>
              <w:jc w:val="center"/>
              <w:rPr>
                <w:rFonts w:hint="eastAsia" w:ascii="仿宋_GB2312" w:hAnsi="仿宋" w:eastAsia="仿宋_GB2312" w:cs="仿宋"/>
                <w:color w:val="000000" w:themeColor="text1"/>
                <w:sz w:val="28"/>
                <w:szCs w:val="28"/>
                <w:lang w:eastAsia="zh-CN"/>
                <w14:textFill>
                  <w14:solidFill>
                    <w14:schemeClr w14:val="tx1"/>
                  </w14:solidFill>
                </w14:textFill>
              </w:rPr>
            </w:pPr>
            <w:r>
              <w:rPr>
                <w:rFonts w:hint="eastAsia" w:ascii="仿宋_GB2312" w:hAnsi="仿宋" w:eastAsia="仿宋_GB2312" w:cs="仿宋"/>
                <w:color w:val="000000" w:themeColor="text1"/>
                <w:sz w:val="28"/>
                <w:szCs w:val="28"/>
                <w:lang w:eastAsia="zh-CN"/>
                <w14:textFill>
                  <w14:solidFill>
                    <w14:schemeClr w14:val="tx1"/>
                  </w14:solidFill>
                </w14:textFill>
              </w:rPr>
              <w:t>东莞市交通运输局网络安全等级保护测评和商用密码应用安全性评测服务项目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7" w:type="dxa"/>
            <w:vAlign w:val="center"/>
          </w:tcPr>
          <w:p>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服务周期</w:t>
            </w:r>
          </w:p>
        </w:tc>
        <w:tc>
          <w:tcPr>
            <w:tcW w:w="6917" w:type="dxa"/>
            <w:vAlign w:val="center"/>
          </w:tcPr>
          <w:p>
            <w:pPr>
              <w:spacing w:after="0" w:line="300" w:lineRule="auto"/>
              <w:jc w:val="center"/>
              <w:rPr>
                <w:rFonts w:hint="eastAsia" w:ascii="仿宋_GB2312" w:hAnsi="仿宋" w:eastAsia="仿宋_GB2312" w:cs="仿宋"/>
                <w:color w:val="000000" w:themeColor="text1"/>
                <w:sz w:val="28"/>
                <w:szCs w:val="28"/>
                <w:lang w:eastAsia="zh-CN"/>
                <w14:textFill>
                  <w14:solidFill>
                    <w14:schemeClr w14:val="tx1"/>
                  </w14:solidFill>
                </w14:textFill>
              </w:rPr>
            </w:pPr>
            <w:r>
              <w:rPr>
                <w:rFonts w:hint="eastAsia" w:ascii="仿宋_GB2312" w:hAnsi="仿宋" w:eastAsia="仿宋_GB2312" w:cs="仿宋"/>
                <w:color w:val="000000" w:themeColor="text1"/>
                <w:sz w:val="28"/>
                <w:szCs w:val="28"/>
                <w:lang w:eastAsia="zh-CN"/>
                <w14:textFill>
                  <w14:solidFill>
                    <w14:schemeClr w14:val="tx1"/>
                  </w14:solidFill>
                </w14:textFill>
              </w:rPr>
              <w:t>一年，自合同签订之日起计算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7" w:type="dxa"/>
            <w:vAlign w:val="center"/>
          </w:tcPr>
          <w:p>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最高限价</w:t>
            </w:r>
          </w:p>
        </w:tc>
        <w:tc>
          <w:tcPr>
            <w:tcW w:w="6917" w:type="dxa"/>
            <w:vAlign w:val="center"/>
          </w:tcPr>
          <w:p>
            <w:pPr>
              <w:spacing w:after="0" w:line="300" w:lineRule="auto"/>
              <w:jc w:val="center"/>
              <w:rPr>
                <w:rFonts w:hint="eastAsia" w:ascii="仿宋_GB2312" w:hAnsi="仿宋" w:eastAsia="仿宋_GB2312" w:cs="仿宋"/>
                <w:color w:val="000000" w:themeColor="text1"/>
                <w:sz w:val="28"/>
                <w:szCs w:val="28"/>
                <w:lang w:eastAsia="zh-CN"/>
                <w14:textFill>
                  <w14:solidFill>
                    <w14:schemeClr w14:val="tx1"/>
                  </w14:solidFill>
                </w14:textFill>
              </w:rPr>
            </w:pPr>
            <w:r>
              <w:rPr>
                <w:rFonts w:hint="eastAsia" w:ascii="仿宋_GB2312" w:hAnsi="仿宋" w:eastAsia="仿宋_GB2312" w:cs="仿宋"/>
                <w:color w:val="000000" w:themeColor="text1"/>
                <w:sz w:val="28"/>
                <w:szCs w:val="28"/>
                <w:lang w:eastAsia="zh-CN"/>
                <w14:textFill>
                  <w14:solidFill>
                    <w14:schemeClr w14:val="tx1"/>
                  </w14:solidFill>
                </w14:textFill>
              </w:rPr>
              <w:t>人民币260000.00元（贰拾陆万元整）</w:t>
            </w:r>
          </w:p>
        </w:tc>
      </w:tr>
    </w:tbl>
    <w:p>
      <w:pPr>
        <w:pStyle w:val="2"/>
        <w:spacing w:after="0" w:line="540" w:lineRule="exact"/>
        <w:rPr>
          <w:rFonts w:hint="eastAsia"/>
          <w:color w:val="000000" w:themeColor="text1"/>
          <w:lang w:eastAsia="zh-CN"/>
          <w14:textFill>
            <w14:solidFill>
              <w14:schemeClr w14:val="tx1"/>
            </w14:solidFill>
          </w14:textFill>
        </w:rPr>
      </w:pPr>
    </w:p>
    <w:p>
      <w:pPr>
        <w:spacing w:after="0" w:line="540" w:lineRule="exact"/>
        <w:ind w:firstLine="640" w:firstLineChars="200"/>
        <w:outlineLvl w:val="1"/>
        <w:rPr>
          <w:rFonts w:hint="eastAsia" w:ascii="黑体" w:hAnsi="黑体" w:eastAsia="黑体" w:cs="仿宋"/>
          <w:color w:val="000000" w:themeColor="text1"/>
          <w:sz w:val="32"/>
          <w:szCs w:val="32"/>
          <w:lang w:eastAsia="zh-CN"/>
          <w14:textFill>
            <w14:solidFill>
              <w14:schemeClr w14:val="tx1"/>
            </w14:solidFill>
          </w14:textFill>
        </w:rPr>
      </w:pPr>
      <w:r>
        <w:rPr>
          <w:rFonts w:hint="eastAsia" w:ascii="黑体" w:hAnsi="黑体" w:eastAsia="黑体" w:cs="仿宋"/>
          <w:color w:val="000000" w:themeColor="text1"/>
          <w:sz w:val="32"/>
          <w:szCs w:val="32"/>
          <w:lang w:eastAsia="zh-CN"/>
          <w14:textFill>
            <w14:solidFill>
              <w14:schemeClr w14:val="tx1"/>
            </w14:solidFill>
          </w14:textFill>
        </w:rPr>
        <w:t>二、采购需求与技术要求</w:t>
      </w:r>
    </w:p>
    <w:p>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（一）服务目标</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1.网络安全等级保护测评目标</w:t>
      </w:r>
    </w:p>
    <w:tbl>
      <w:tblPr>
        <w:tblStyle w:val="17"/>
        <w:tblW w:w="4596" w:type="pct"/>
        <w:jc w:val="center"/>
        <w:tblLayout w:type="autofit"/>
        <w:tblCellMar>
          <w:top w:w="0" w:type="dxa"/>
          <w:left w:w="108" w:type="dxa"/>
          <w:bottom w:w="0" w:type="dxa"/>
          <w:right w:w="108" w:type="dxa"/>
        </w:tblCellMar>
      </w:tblPr>
      <w:tblGrid>
        <w:gridCol w:w="987"/>
        <w:gridCol w:w="5269"/>
        <w:gridCol w:w="2239"/>
      </w:tblGrid>
      <w:tr>
        <w:tblPrEx>
          <w:tblCellMar>
            <w:top w:w="0" w:type="dxa"/>
            <w:left w:w="108" w:type="dxa"/>
            <w:bottom w:w="0" w:type="dxa"/>
            <w:right w:w="108" w:type="dxa"/>
          </w:tblCellMar>
        </w:tblPrEx>
        <w:trPr>
          <w:trHeight w:val="270" w:hRule="atLeast"/>
          <w:jc w:val="center"/>
        </w:trPr>
        <w:tc>
          <w:tcPr>
            <w:tcW w:w="581" w:type="pct"/>
            <w:tcBorders>
              <w:top w:val="single" w:color="000000" w:sz="4" w:space="0"/>
              <w:left w:val="single" w:color="000000" w:sz="4" w:space="0"/>
              <w:bottom w:val="single" w:color="000000" w:sz="4" w:space="0"/>
              <w:right w:val="single" w:color="000000" w:sz="4" w:space="0"/>
            </w:tcBorders>
            <w:noWrap/>
            <w:vAlign w:val="center"/>
          </w:tcPr>
          <w:p>
            <w:pPr>
              <w:spacing w:after="0" w:line="540" w:lineRule="exact"/>
              <w:jc w:val="center"/>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序号</w:t>
            </w:r>
          </w:p>
        </w:tc>
        <w:tc>
          <w:tcPr>
            <w:tcW w:w="3100" w:type="pct"/>
            <w:tcBorders>
              <w:top w:val="single" w:color="000000" w:sz="4" w:space="0"/>
              <w:left w:val="single" w:color="000000" w:sz="4" w:space="0"/>
              <w:bottom w:val="single" w:color="000000" w:sz="4" w:space="0"/>
              <w:right w:val="single" w:color="000000" w:sz="4" w:space="0"/>
            </w:tcBorders>
            <w:vAlign w:val="center"/>
          </w:tcPr>
          <w:p>
            <w:pPr>
              <w:spacing w:after="0" w:line="540" w:lineRule="exact"/>
              <w:jc w:val="center"/>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信息系统名称</w:t>
            </w:r>
          </w:p>
        </w:tc>
        <w:tc>
          <w:tcPr>
            <w:tcW w:w="1317" w:type="pct"/>
            <w:tcBorders>
              <w:top w:val="single" w:color="000000" w:sz="4" w:space="0"/>
              <w:left w:val="single" w:color="000000" w:sz="4" w:space="0"/>
              <w:bottom w:val="single" w:color="000000" w:sz="4" w:space="0"/>
              <w:right w:val="single" w:color="000000" w:sz="4" w:space="0"/>
            </w:tcBorders>
            <w:noWrap/>
            <w:vAlign w:val="center"/>
          </w:tcPr>
          <w:p>
            <w:pPr>
              <w:spacing w:after="0" w:line="540" w:lineRule="exact"/>
              <w:jc w:val="center"/>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测评要求</w:t>
            </w:r>
          </w:p>
        </w:tc>
      </w:tr>
      <w:tr>
        <w:tblPrEx>
          <w:tblCellMar>
            <w:top w:w="0" w:type="dxa"/>
            <w:left w:w="108" w:type="dxa"/>
            <w:bottom w:w="0" w:type="dxa"/>
            <w:right w:w="108" w:type="dxa"/>
          </w:tblCellMar>
        </w:tblPrEx>
        <w:trPr>
          <w:trHeight w:val="270" w:hRule="atLeast"/>
          <w:jc w:val="center"/>
        </w:trPr>
        <w:tc>
          <w:tcPr>
            <w:tcW w:w="581" w:type="pct"/>
            <w:tcBorders>
              <w:top w:val="single" w:color="000000" w:sz="4" w:space="0"/>
              <w:left w:val="single" w:color="000000" w:sz="4" w:space="0"/>
              <w:bottom w:val="single" w:color="000000" w:sz="4" w:space="0"/>
              <w:right w:val="single" w:color="000000" w:sz="4" w:space="0"/>
            </w:tcBorders>
            <w:noWrap/>
            <w:vAlign w:val="center"/>
          </w:tcPr>
          <w:p>
            <w:pPr>
              <w:spacing w:after="0" w:line="540" w:lineRule="exact"/>
              <w:jc w:val="center"/>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w:t>
            </w:r>
          </w:p>
        </w:tc>
        <w:tc>
          <w:tcPr>
            <w:tcW w:w="3100" w:type="pct"/>
            <w:tcBorders>
              <w:top w:val="single" w:color="000000" w:sz="4" w:space="0"/>
              <w:left w:val="single" w:color="000000" w:sz="4" w:space="0"/>
              <w:bottom w:val="single" w:color="000000" w:sz="4" w:space="0"/>
              <w:right w:val="single" w:color="000000" w:sz="4" w:space="0"/>
            </w:tcBorders>
            <w:vAlign w:val="center"/>
          </w:tcPr>
          <w:p>
            <w:pPr>
              <w:spacing w:after="0" w:line="540" w:lineRule="exact"/>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智慧交通小脑(大交通数据中心)</w:t>
            </w:r>
            <w:bookmarkStart w:id="0" w:name="_GoBack"/>
            <w:bookmarkEnd w:id="0"/>
            <w:r>
              <w:rPr>
                <w:rFonts w:hint="eastAsia" w:ascii="仿宋_GB2312" w:hAnsi="仿宋" w:eastAsia="仿宋_GB2312" w:cs="仿宋"/>
                <w:color w:val="000000" w:themeColor="text1"/>
                <w:sz w:val="32"/>
                <w:szCs w:val="32"/>
                <w:lang w:eastAsia="zh-CN"/>
                <w14:textFill>
                  <w14:solidFill>
                    <w14:schemeClr w14:val="tx1"/>
                  </w14:solidFill>
                </w14:textFill>
              </w:rPr>
              <w:t>（等保三级）</w:t>
            </w:r>
          </w:p>
        </w:tc>
        <w:tc>
          <w:tcPr>
            <w:tcW w:w="1317" w:type="pct"/>
            <w:vMerge w:val="restart"/>
            <w:tcBorders>
              <w:top w:val="single" w:color="000000" w:sz="4" w:space="0"/>
              <w:left w:val="single" w:color="000000" w:sz="4" w:space="0"/>
              <w:bottom w:val="single" w:color="000000" w:sz="4" w:space="0"/>
              <w:right w:val="single" w:color="000000" w:sz="4" w:space="0"/>
            </w:tcBorders>
            <w:vAlign w:val="center"/>
          </w:tcPr>
          <w:p>
            <w:pPr>
              <w:spacing w:after="0" w:line="540" w:lineRule="exact"/>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按等级保护测评要求对系统进行测评服务</w:t>
            </w:r>
          </w:p>
        </w:tc>
      </w:tr>
      <w:tr>
        <w:tblPrEx>
          <w:tblCellMar>
            <w:top w:w="0" w:type="dxa"/>
            <w:left w:w="108" w:type="dxa"/>
            <w:bottom w:w="0" w:type="dxa"/>
            <w:right w:w="108" w:type="dxa"/>
          </w:tblCellMar>
        </w:tblPrEx>
        <w:trPr>
          <w:trHeight w:val="270" w:hRule="atLeast"/>
          <w:jc w:val="center"/>
        </w:trPr>
        <w:tc>
          <w:tcPr>
            <w:tcW w:w="581" w:type="pct"/>
            <w:tcBorders>
              <w:top w:val="single" w:color="000000" w:sz="4" w:space="0"/>
              <w:left w:val="single" w:color="000000" w:sz="4" w:space="0"/>
              <w:bottom w:val="single" w:color="000000" w:sz="4" w:space="0"/>
              <w:right w:val="single" w:color="000000" w:sz="4" w:space="0"/>
            </w:tcBorders>
            <w:noWrap/>
            <w:vAlign w:val="center"/>
          </w:tcPr>
          <w:p>
            <w:pPr>
              <w:spacing w:after="0" w:line="540" w:lineRule="exact"/>
              <w:jc w:val="center"/>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2</w:t>
            </w:r>
          </w:p>
        </w:tc>
        <w:tc>
          <w:tcPr>
            <w:tcW w:w="3100" w:type="pct"/>
            <w:tcBorders>
              <w:top w:val="single" w:color="000000" w:sz="4" w:space="0"/>
              <w:left w:val="single" w:color="000000" w:sz="4" w:space="0"/>
              <w:bottom w:val="single" w:color="000000" w:sz="4" w:space="0"/>
              <w:right w:val="single" w:color="000000" w:sz="4" w:space="0"/>
            </w:tcBorders>
            <w:vAlign w:val="center"/>
          </w:tcPr>
          <w:p>
            <w:pPr>
              <w:spacing w:after="0" w:line="540" w:lineRule="exact"/>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东莞市道路运输车辆卫星定位系统（等保三级）</w:t>
            </w:r>
          </w:p>
        </w:tc>
        <w:tc>
          <w:tcPr>
            <w:tcW w:w="1317"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p>
        </w:tc>
      </w:tr>
    </w:tbl>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2.商用密码应用安全性评测目标</w:t>
      </w:r>
    </w:p>
    <w:tbl>
      <w:tblPr>
        <w:tblStyle w:val="17"/>
        <w:tblW w:w="4620" w:type="pct"/>
        <w:jc w:val="center"/>
        <w:tblLayout w:type="autofit"/>
        <w:tblCellMar>
          <w:top w:w="0" w:type="dxa"/>
          <w:left w:w="108" w:type="dxa"/>
          <w:bottom w:w="0" w:type="dxa"/>
          <w:right w:w="108" w:type="dxa"/>
        </w:tblCellMar>
      </w:tblPr>
      <w:tblGrid>
        <w:gridCol w:w="994"/>
        <w:gridCol w:w="5308"/>
        <w:gridCol w:w="2238"/>
      </w:tblGrid>
      <w:tr>
        <w:trPr>
          <w:trHeight w:val="270" w:hRule="atLeast"/>
          <w:jc w:val="center"/>
        </w:trPr>
        <w:tc>
          <w:tcPr>
            <w:tcW w:w="582" w:type="pct"/>
            <w:tcBorders>
              <w:top w:val="single" w:color="000000" w:sz="4" w:space="0"/>
              <w:left w:val="single" w:color="000000" w:sz="4" w:space="0"/>
              <w:bottom w:val="single" w:color="000000" w:sz="4" w:space="0"/>
              <w:right w:val="single" w:color="000000" w:sz="4" w:space="0"/>
            </w:tcBorders>
            <w:noWrap/>
            <w:vAlign w:val="center"/>
          </w:tcPr>
          <w:p>
            <w:pPr>
              <w:spacing w:after="0" w:line="540" w:lineRule="exact"/>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序号</w:t>
            </w:r>
          </w:p>
        </w:tc>
        <w:tc>
          <w:tcPr>
            <w:tcW w:w="3107" w:type="pct"/>
            <w:tcBorders>
              <w:top w:val="single" w:color="000000" w:sz="4" w:space="0"/>
              <w:left w:val="single" w:color="000000" w:sz="4" w:space="0"/>
              <w:bottom w:val="single" w:color="000000" w:sz="4" w:space="0"/>
              <w:right w:val="single" w:color="000000" w:sz="4" w:space="0"/>
            </w:tcBorders>
            <w:vAlign w:val="center"/>
          </w:tcPr>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信息系统名称</w:t>
            </w:r>
          </w:p>
        </w:tc>
        <w:tc>
          <w:tcPr>
            <w:tcW w:w="1310" w:type="pct"/>
            <w:tcBorders>
              <w:top w:val="single" w:color="000000" w:sz="4" w:space="0"/>
              <w:left w:val="single" w:color="000000" w:sz="4" w:space="0"/>
              <w:bottom w:val="single" w:color="000000" w:sz="4" w:space="0"/>
              <w:right w:val="single" w:color="000000" w:sz="4" w:space="0"/>
            </w:tcBorders>
            <w:noWrap/>
            <w:vAlign w:val="center"/>
          </w:tcPr>
          <w:p>
            <w:pPr>
              <w:spacing w:after="0" w:line="540" w:lineRule="exact"/>
              <w:jc w:val="center"/>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测评要求</w:t>
            </w:r>
          </w:p>
        </w:tc>
      </w:tr>
      <w:tr>
        <w:trPr>
          <w:trHeight w:val="270" w:hRule="atLeast"/>
          <w:jc w:val="center"/>
        </w:trPr>
        <w:tc>
          <w:tcPr>
            <w:tcW w:w="582" w:type="pct"/>
            <w:tcBorders>
              <w:top w:val="single" w:color="000000" w:sz="4" w:space="0"/>
              <w:left w:val="single" w:color="000000" w:sz="4" w:space="0"/>
              <w:bottom w:val="single" w:color="000000" w:sz="4" w:space="0"/>
              <w:right w:val="single" w:color="000000" w:sz="4" w:space="0"/>
            </w:tcBorders>
            <w:noWrap/>
            <w:vAlign w:val="center"/>
          </w:tcPr>
          <w:p>
            <w:pPr>
              <w:spacing w:after="0" w:line="540" w:lineRule="exact"/>
              <w:jc w:val="center"/>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w:t>
            </w:r>
          </w:p>
        </w:tc>
        <w:tc>
          <w:tcPr>
            <w:tcW w:w="3107" w:type="pct"/>
            <w:tcBorders>
              <w:top w:val="single" w:color="000000" w:sz="4" w:space="0"/>
              <w:left w:val="single" w:color="000000" w:sz="4" w:space="0"/>
              <w:bottom w:val="single" w:color="000000" w:sz="4" w:space="0"/>
              <w:right w:val="single" w:color="000000" w:sz="4" w:space="0"/>
            </w:tcBorders>
            <w:vAlign w:val="center"/>
          </w:tcPr>
          <w:p>
            <w:pPr>
              <w:spacing w:after="0" w:line="540" w:lineRule="exact"/>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东莞市道路运输车辆卫星定位系统（等保三级）</w:t>
            </w:r>
          </w:p>
        </w:tc>
        <w:tc>
          <w:tcPr>
            <w:tcW w:w="1310" w:type="pct"/>
            <w:tcBorders>
              <w:top w:val="single" w:color="000000" w:sz="4" w:space="0"/>
              <w:left w:val="single" w:color="000000" w:sz="4" w:space="0"/>
              <w:bottom w:val="single" w:color="000000" w:sz="4" w:space="0"/>
              <w:right w:val="single" w:color="000000" w:sz="4" w:space="0"/>
            </w:tcBorders>
            <w:vAlign w:val="center"/>
          </w:tcPr>
          <w:p>
            <w:pPr>
              <w:spacing w:after="0" w:line="540" w:lineRule="exact"/>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按照商用密码应用安全性评估要求对系统进行评估服务</w:t>
            </w:r>
          </w:p>
        </w:tc>
      </w:tr>
    </w:tbl>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p>
    <w:p>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（二）服务要求</w:t>
      </w:r>
    </w:p>
    <w:p>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1.网络安全等级保护测评要求</w:t>
      </w:r>
    </w:p>
    <w:p>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根据《网络安全等级保护测评要求》及《网络安全等级保护测评过程指南》等国家标准，对三级信息系统进行信息安全等级保护测评。等保测评从技术、管理两方面进行测评。技术要求测评包括安全物理环境、安全通信网络、安全区域边界、安全计算环境、安全管理中心等，管理要求测评包括安全管理制度、安全管理机构、安全管理人员、安全建设管理和安全运维管理等。出具网络安全等级保护测评报告。</w:t>
      </w:r>
    </w:p>
    <w:p>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2.商用密码应用安全性评测要求</w:t>
      </w:r>
    </w:p>
    <w:p>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ascii="仿宋_GB2312" w:hAnsi="仿宋" w:eastAsia="仿宋_GB2312" w:cs="仿宋"/>
          <w:color w:val="000000" w:themeColor="text1"/>
          <w:sz w:val="32"/>
          <w:szCs w:val="32"/>
          <w:lang w:eastAsia="zh-CN"/>
          <w14:textFill>
            <w14:solidFill>
              <w14:schemeClr w14:val="tx1"/>
            </w14:solidFill>
          </w14:textFill>
        </w:rPr>
        <w:t>参照 GB/T 39786-2021《信息安全技术信息系统密码应用基本要求》、GB/T 43206-2023《信息安全技术 信息系统密码应用测评要求》、GM/T 0116-2021《信息系统密码应用测评过程指南》等国家、行业有关标准执行，出具商用密码应用安全性评估报告。</w:t>
      </w:r>
    </w:p>
    <w:p>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（三）服务商资质要求</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参照《中华人民共和国政府采购法》第二十二条规定，服务商须符合以下条件：</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1.具有独立承担民事责任的能力。</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2.具有良好的商业信誉和健全的财务会计制度。</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3.具有履行合同所必需的设备、专业技术能力和数据处理能力。</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4.具有依法缴纳税收和社会保障资金的良好记录。</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5.参加采购活动前三年内，在经营活动中没有重大违法记录。服务商未被列入“信用中国”网站（www.creditchina.gov.cn）失信被执行人、重大税收违法失信主体或政府采购严重违法失信行为记录名单；不处于中国政府采购网（www.ccgp.gov.cn）政府采购严重违法失信行为信息记录中的禁止参加政府采购活动期间。</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6.服务商须具备公安部第三研究所（认证中心）颁发的《网络安全等级测评与检测评估机构服务认证证书》或《网络安全服务认证证书等级保护测评服务认证证书》，或者在公安部第三研究所（认证中心）发布的网络安全等级保护测评机构服务认证获证机构名录中，且证书在有效期内。</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7.供应商须具备国家密码管理局颁发且在有效期内的《商用密码检测机构资质证书》，证书核准业务范围包含商用密码应用安全性评估且在有效期内。</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8.本项目不接受联合体参与，严禁转包或违法分包。</w:t>
      </w:r>
    </w:p>
    <w:p>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（四）报价要求</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本项目最高限价为人民币260000.00元（大写：贰拾陆万元整）。响应报价超过最高限价的，按无效响应处理。报价包括本项目采购需求和投入使用的所有费用，包括但不限于主件、标准附件、备品备件、施工、服务、专用工具、安装、调试、检验、培训、运输、保险、税款及其他相关费用。</w:t>
      </w:r>
    </w:p>
    <w:p>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（五）响应报价说明</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响应资料必须加盖公章后密封，并在封面注明投件单位、联系人及联系电话，在封口处加贴封条并加盖公章。未按要求密封盖章或逾期送达的文件将视为无效。报价材料包括：</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1.《营业执照》复印件、法定代表人身份证复印件（正、反面）；</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2.报价表（见附件1）；</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3.资格条件承诺函（见附件2）；</w:t>
      </w:r>
    </w:p>
    <w:p>
      <w:pPr>
        <w:spacing w:after="0" w:line="540" w:lineRule="exact"/>
        <w:ind w:firstLine="640" w:firstLineChars="200"/>
        <w:rPr>
          <w:rFonts w:hint="eastAsia"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4.服务商信用查询截图（查询渠道：“信用中国”（www.creditchina.gov.cn）、“中国政府采购网”（http://www.ccgp.gov.cn/），查询时间截点：采购公告发布之日至响应文件提交截止时间前）；</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5.法定代表人授权书（模板见附件3，无授权代表可不提供）；</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6.公安部第三研究所（认证中心）颁发的《网络安全等级测评与检测评估机构服务认证证书》或《网络安全服务认证证书等级保护测评服务认证证书》，或者在公安部第三研究所（认证中心）发布的网络安全等级保护测评机构服务认证获证机构名录中（提供有效期内的资质证书复印件或网络安全等级保护网（https://www.djbh.net/）机构查询信息截图或公安部第三研究所(认证中心)发布的网络安全等级保护测评机构服务认证获证机构名录截图并加盖公章）。</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7.国家密码管理局颁发且在有效期内的《商用密码检测机构资质证书》，证书核准业务范围包含商用密码应用安全性评估且在有效期内；响应文件须提供资质证书复印件并加盖公章。</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8.根据本采购需求书编制的技术服务方案、项目团队、同类业绩、服务响应和其他证明材料（建议列索引表）。</w:t>
      </w:r>
    </w:p>
    <w:p>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（六）支付方式</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1.技术服务费由采购人分期支付服务商。采购人在每期付款前，服务商应提前7个工作日将等额合法有效的普通发票开具给采购人，否则采购人有权拒绝付款。</w:t>
      </w:r>
    </w:p>
    <w:p>
      <w:pPr>
        <w:spacing w:after="0" w:line="54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2.第一期：合同签订后，采购人在收到服务商提供的合法有效等额发票后10个工作日内支付人民币44200元。</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3.第二期：采购人在服务周期结束验收合格后，2027年6月前支付服务商余下合同款项。</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4.因服务商原因导致付款时间迟延的，由服务商承担相应责任，采购人财政支付审批流程不计入付款时间。本项目支付相关细则、时间约束及权责约定最终以双方签订的正式合同文本为准。</w:t>
      </w:r>
    </w:p>
    <w:p>
      <w:pPr>
        <w:spacing w:after="0" w:line="540" w:lineRule="exact"/>
        <w:ind w:firstLine="640" w:firstLineChars="200"/>
        <w:outlineLvl w:val="0"/>
        <w:rPr>
          <w:rFonts w:hint="eastAsia" w:ascii="黑体" w:hAnsi="黑体" w:eastAsia="黑体" w:cs="国标黑体"/>
          <w:color w:val="000000" w:themeColor="text1"/>
          <w:sz w:val="32"/>
          <w:szCs w:val="32"/>
          <w:lang w:eastAsia="zh-CN"/>
          <w14:textFill>
            <w14:solidFill>
              <w14:schemeClr w14:val="tx1"/>
            </w14:solidFill>
          </w14:textFill>
        </w:rPr>
      </w:pPr>
      <w:r>
        <w:rPr>
          <w:rFonts w:hint="eastAsia" w:ascii="黑体" w:hAnsi="黑体" w:eastAsia="黑体" w:cs="国标黑体"/>
          <w:color w:val="000000" w:themeColor="text1"/>
          <w:sz w:val="32"/>
          <w:szCs w:val="32"/>
          <w:lang w:eastAsia="zh-CN"/>
          <w14:textFill>
            <w14:solidFill>
              <w14:schemeClr w14:val="tx1"/>
            </w14:solidFill>
          </w14:textFill>
        </w:rPr>
        <w:t>三、评审标准</w:t>
      </w:r>
    </w:p>
    <w:p>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本项目采用综合评分法，所有响应文件的评分分别按技术部分、商务部分和报价部分进行打分，满分100分。其中，技术部分60分，商务部分15分，报价部分25分。</w:t>
      </w:r>
    </w:p>
    <w:tbl>
      <w:tblPr>
        <w:tblStyle w:val="18"/>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701"/>
        <w:gridCol w:w="850"/>
        <w:gridCol w:w="5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134" w:type="dxa"/>
            <w:vAlign w:val="center"/>
          </w:tcPr>
          <w:p>
            <w:pPr>
              <w:spacing w:after="0" w:line="300" w:lineRule="auto"/>
              <w:jc w:val="center"/>
              <w:rPr>
                <w:rFonts w:hint="eastAsia"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仿宋_GB2312" w:eastAsia="仿宋_GB2312" w:cs="仿宋_GB2312"/>
                <w:bCs/>
                <w:color w:val="000000" w:themeColor="text1"/>
                <w:sz w:val="24"/>
                <w:szCs w:val="24"/>
                <w14:textFill>
                  <w14:solidFill>
                    <w14:schemeClr w14:val="tx1"/>
                  </w14:solidFill>
                </w14:textFill>
              </w:rPr>
              <w:t>类别</w:t>
            </w:r>
          </w:p>
        </w:tc>
        <w:tc>
          <w:tcPr>
            <w:tcW w:w="1701" w:type="dxa"/>
            <w:vAlign w:val="center"/>
          </w:tcPr>
          <w:p>
            <w:pPr>
              <w:spacing w:after="0" w:line="300" w:lineRule="auto"/>
              <w:jc w:val="center"/>
              <w:rPr>
                <w:rFonts w:hint="eastAsia"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仿宋_GB2312" w:eastAsia="仿宋_GB2312" w:cs="仿宋_GB2312"/>
                <w:bCs/>
                <w:color w:val="000000" w:themeColor="text1"/>
                <w:sz w:val="24"/>
                <w:szCs w:val="24"/>
                <w14:textFill>
                  <w14:solidFill>
                    <w14:schemeClr w14:val="tx1"/>
                  </w14:solidFill>
                </w14:textFill>
              </w:rPr>
              <w:t>评审因素</w:t>
            </w:r>
          </w:p>
        </w:tc>
        <w:tc>
          <w:tcPr>
            <w:tcW w:w="850" w:type="dxa"/>
            <w:vAlign w:val="center"/>
          </w:tcPr>
          <w:p>
            <w:pPr>
              <w:spacing w:after="0" w:line="300" w:lineRule="auto"/>
              <w:jc w:val="center"/>
              <w:rPr>
                <w:rFonts w:hint="eastAsia"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仿宋_GB2312" w:eastAsia="仿宋_GB2312" w:cs="仿宋_GB2312"/>
                <w:bCs/>
                <w:color w:val="000000" w:themeColor="text1"/>
                <w:sz w:val="24"/>
                <w:szCs w:val="24"/>
                <w14:textFill>
                  <w14:solidFill>
                    <w14:schemeClr w14:val="tx1"/>
                  </w14:solidFill>
                </w14:textFill>
              </w:rPr>
              <w:t>分值</w:t>
            </w:r>
          </w:p>
        </w:tc>
        <w:tc>
          <w:tcPr>
            <w:tcW w:w="5159" w:type="dxa"/>
            <w:vAlign w:val="center"/>
          </w:tcPr>
          <w:p>
            <w:pPr>
              <w:spacing w:after="0" w:line="300" w:lineRule="auto"/>
              <w:jc w:val="center"/>
              <w:rPr>
                <w:rFonts w:hint="eastAsia"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仿宋_GB2312" w:eastAsia="仿宋_GB2312" w:cs="仿宋_GB2312"/>
                <w:bCs/>
                <w:color w:val="000000" w:themeColor="text1"/>
                <w:sz w:val="24"/>
                <w:szCs w:val="24"/>
                <w14:textFill>
                  <w14:solidFill>
                    <w14:schemeClr w14:val="tx1"/>
                  </w14:solidFill>
                </w14:textFill>
              </w:rPr>
              <w:t>评审重点及标准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技术部分</w:t>
            </w:r>
          </w:p>
        </w:tc>
        <w:tc>
          <w:tcPr>
            <w:tcW w:w="1701" w:type="dxa"/>
            <w:vAlign w:val="center"/>
          </w:tcPr>
          <w:p>
            <w:pPr>
              <w:spacing w:after="0" w:line="300" w:lineRule="auto"/>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实施</w:t>
            </w:r>
            <w:r>
              <w:rPr>
                <w:rFonts w:hint="eastAsia" w:ascii="仿宋_GB2312" w:hAnsi="仿宋_GB2312" w:eastAsia="仿宋_GB2312" w:cs="仿宋_GB2312"/>
                <w:color w:val="000000" w:themeColor="text1"/>
                <w:szCs w:val="21"/>
                <w14:textFill>
                  <w14:solidFill>
                    <w14:schemeClr w14:val="tx1"/>
                  </w14:solidFill>
                </w14:textFill>
              </w:rPr>
              <w:t>方案</w:t>
            </w:r>
          </w:p>
        </w:tc>
        <w:tc>
          <w:tcPr>
            <w:tcW w:w="850"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1</w:t>
            </w:r>
            <w:r>
              <w:rPr>
                <w:rFonts w:hint="eastAsia" w:ascii="仿宋_GB2312" w:hAnsi="仿宋_GB2312" w:eastAsia="仿宋_GB2312" w:cs="仿宋_GB2312"/>
                <w:color w:val="000000" w:themeColor="text1"/>
                <w:szCs w:val="21"/>
                <w:lang w:eastAsia="zh-CN"/>
                <w14:textFill>
                  <w14:solidFill>
                    <w14:schemeClr w14:val="tx1"/>
                  </w14:solidFill>
                </w14:textFill>
              </w:rPr>
              <w:t>5</w:t>
            </w:r>
            <w:r>
              <w:rPr>
                <w:rFonts w:hint="eastAsia" w:ascii="仿宋_GB2312" w:hAnsi="仿宋_GB2312" w:eastAsia="仿宋_GB2312" w:cs="仿宋_GB2312"/>
                <w:color w:val="000000" w:themeColor="text1"/>
                <w:szCs w:val="21"/>
                <w14:textFill>
                  <w14:solidFill>
                    <w14:schemeClr w14:val="tx1"/>
                  </w14:solidFill>
                </w14:textFill>
              </w:rPr>
              <w:t>分</w:t>
            </w:r>
          </w:p>
        </w:tc>
        <w:tc>
          <w:tcPr>
            <w:tcW w:w="5159" w:type="dxa"/>
            <w:vAlign w:val="center"/>
          </w:tcPr>
          <w:p>
            <w:pPr>
              <w:rPr>
                <w:rFonts w:hint="eastAsia" w:ascii="仿宋_GB2312" w:hAnsi="仿宋_GB2312" w:eastAsia="仿宋_GB2312" w:cs="仿宋_GB2312"/>
                <w:color w:val="000000" w:themeColor="text1"/>
                <w:szCs w:val="21"/>
                <w:lang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根据项目实施方案中所包含的流程步骤、测评方法、测评工具、保密措施、项目管理制度等内容进行评审：</w:t>
            </w:r>
          </w:p>
          <w:p>
            <w:pPr>
              <w:rPr>
                <w:rFonts w:hint="eastAsia" w:ascii="仿宋_GB2312" w:hAnsi="仿宋_GB2312" w:eastAsia="仿宋_GB2312" w:cs="仿宋_GB2312"/>
                <w:color w:val="000000" w:themeColor="text1"/>
                <w:szCs w:val="21"/>
                <w:lang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1.项目实施方案详细丰富，包含明确的流程步骤、科学的测评方法、先进的测评工具、完善的保密措施、规范的项目管理制度，可操作性强，得15分；</w:t>
            </w:r>
          </w:p>
          <w:p>
            <w:pPr>
              <w:rPr>
                <w:rFonts w:hint="eastAsia" w:ascii="仿宋_GB2312" w:hAnsi="仿宋_GB2312" w:eastAsia="仿宋_GB2312" w:cs="仿宋_GB2312"/>
                <w:color w:val="000000" w:themeColor="text1"/>
                <w:szCs w:val="21"/>
                <w:lang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2.项目实施方案较详细丰富，包含较明确的流程步骤、较科学的测评方法、较先进的测评工具、较完善的保密措施、较规范的项目管理制度，可操作性较强，得11分；</w:t>
            </w:r>
          </w:p>
          <w:p>
            <w:pPr>
              <w:rPr>
                <w:rFonts w:hint="eastAsia" w:ascii="仿宋_GB2312" w:hAnsi="仿宋_GB2312" w:eastAsia="仿宋_GB2312" w:cs="仿宋_GB2312"/>
                <w:color w:val="000000" w:themeColor="text1"/>
                <w:szCs w:val="21"/>
                <w:lang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3.项目实施方案，管理制度，保密措施一般，得7分；</w:t>
            </w:r>
          </w:p>
          <w:p>
            <w:pPr>
              <w:rPr>
                <w:rFonts w:hint="eastAsia" w:ascii="仿宋_GB2312" w:hAnsi="仿宋_GB2312" w:eastAsia="仿宋_GB2312" w:cs="仿宋_GB2312"/>
                <w:color w:val="000000" w:themeColor="text1"/>
                <w:szCs w:val="21"/>
                <w:lang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4.未提供对应方案不得分。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134"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技术部分</w:t>
            </w:r>
          </w:p>
        </w:tc>
        <w:tc>
          <w:tcPr>
            <w:tcW w:w="1701" w:type="dxa"/>
            <w:vAlign w:val="center"/>
          </w:tcPr>
          <w:p>
            <w:pPr>
              <w:spacing w:after="0" w:line="300" w:lineRule="auto"/>
              <w:rPr>
                <w:rFonts w:hint="eastAsia" w:ascii="仿宋_GB2312" w:hAnsi="仿宋_GB2312" w:eastAsia="仿宋_GB2312" w:cs="仿宋_GB2312"/>
                <w:color w:val="000000" w:themeColor="text1"/>
                <w:szCs w:val="21"/>
                <w:lang w:eastAsia="zh-Hans"/>
                <w14:textFill>
                  <w14:solidFill>
                    <w14:schemeClr w14:val="tx1"/>
                  </w14:solidFill>
                </w14:textFill>
              </w:rPr>
            </w:pPr>
            <w:r>
              <w:rPr>
                <w:rFonts w:hint="eastAsia" w:ascii="仿宋_GB2312" w:hAnsi="仿宋_GB2312" w:eastAsia="仿宋_GB2312" w:cs="仿宋_GB2312"/>
                <w:color w:val="000000" w:themeColor="text1"/>
                <w:szCs w:val="21"/>
                <w:lang w:eastAsia="zh-Hans"/>
                <w14:textFill>
                  <w14:solidFill>
                    <w14:schemeClr w14:val="tx1"/>
                  </w14:solidFill>
                </w14:textFill>
              </w:rPr>
              <w:t>风险控制服务方案</w:t>
            </w:r>
          </w:p>
        </w:tc>
        <w:tc>
          <w:tcPr>
            <w:tcW w:w="850"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15分</w:t>
            </w:r>
          </w:p>
        </w:tc>
        <w:tc>
          <w:tcPr>
            <w:tcW w:w="5159" w:type="dxa"/>
            <w:vAlign w:val="center"/>
          </w:tcPr>
          <w:p>
            <w:pPr>
              <w:rPr>
                <w:rFonts w:hint="eastAsia" w:ascii="仿宋_GB2312" w:hAnsi="仿宋_GB2312" w:eastAsia="仿宋_GB2312" w:cs="仿宋_GB2312"/>
                <w:color w:val="000000" w:themeColor="text1"/>
                <w:szCs w:val="21"/>
                <w:lang w:val="zh-CN" w:eastAsia="zh-CN"/>
                <w14:textFill>
                  <w14:solidFill>
                    <w14:schemeClr w14:val="tx1"/>
                  </w14:solidFill>
                </w14:textFill>
              </w:rPr>
            </w:pPr>
            <w:r>
              <w:rPr>
                <w:rFonts w:hint="eastAsia" w:ascii="仿宋_GB2312" w:hAnsi="仿宋_GB2312" w:eastAsia="仿宋_GB2312" w:cs="仿宋_GB2312"/>
                <w:color w:val="000000" w:themeColor="text1"/>
                <w:szCs w:val="21"/>
                <w:lang w:val="zh-CN" w:eastAsia="zh-CN"/>
                <w14:textFill>
                  <w14:solidFill>
                    <w14:schemeClr w14:val="tx1"/>
                  </w14:solidFill>
                </w14:textFill>
              </w:rPr>
              <w:t>根据风险控制服务方案所包含的风险识别分析、风险控制规避、风险控制措施等内容进行评分：</w:t>
            </w:r>
          </w:p>
          <w:p>
            <w:pPr>
              <w:rPr>
                <w:rFonts w:hint="eastAsia" w:ascii="仿宋_GB2312" w:hAnsi="仿宋_GB2312" w:eastAsia="仿宋_GB2312" w:cs="仿宋_GB2312"/>
                <w:color w:val="000000" w:themeColor="text1"/>
                <w:szCs w:val="21"/>
                <w:lang w:val="zh-CN" w:eastAsia="zh-CN"/>
                <w14:textFill>
                  <w14:solidFill>
                    <w14:schemeClr w14:val="tx1"/>
                  </w14:solidFill>
                </w14:textFill>
              </w:rPr>
            </w:pPr>
            <w:r>
              <w:rPr>
                <w:rFonts w:hint="eastAsia" w:ascii="仿宋_GB2312" w:hAnsi="仿宋_GB2312" w:eastAsia="仿宋_GB2312" w:cs="仿宋_GB2312"/>
                <w:color w:val="000000" w:themeColor="text1"/>
                <w:szCs w:val="21"/>
                <w:lang w:val="zh-CN" w:eastAsia="zh-CN"/>
                <w14:textFill>
                  <w14:solidFill>
                    <w14:schemeClr w14:val="tx1"/>
                  </w14:solidFill>
                </w14:textFill>
              </w:rPr>
              <w:t>1</w:t>
            </w:r>
            <w:r>
              <w:rPr>
                <w:rFonts w:hint="eastAsia" w:ascii="仿宋_GB2312" w:hAnsi="仿宋_GB2312" w:eastAsia="仿宋_GB2312" w:cs="仿宋_GB2312"/>
                <w:color w:val="000000" w:themeColor="text1"/>
                <w:szCs w:val="21"/>
                <w:lang w:eastAsia="zh-CN"/>
                <w14:textFill>
                  <w14:solidFill>
                    <w14:schemeClr w14:val="tx1"/>
                  </w14:solidFill>
                </w14:textFill>
              </w:rPr>
              <w:t>.</w:t>
            </w:r>
            <w:r>
              <w:rPr>
                <w:rFonts w:ascii="仿宋_GB2312" w:hAnsi="仿宋_GB2312" w:eastAsia="仿宋_GB2312" w:cs="仿宋_GB2312"/>
                <w:color w:val="000000" w:themeColor="text1"/>
                <w:szCs w:val="21"/>
                <w:lang w:val="zh-CN" w:eastAsia="zh-CN"/>
                <w14:textFill>
                  <w14:solidFill>
                    <w14:schemeClr w14:val="tx1"/>
                  </w14:solidFill>
                </w14:textFill>
              </w:rPr>
              <w:t>风险控制服务方案</w:t>
            </w:r>
            <w:r>
              <w:rPr>
                <w:rFonts w:hint="eastAsia" w:ascii="仿宋_GB2312" w:hAnsi="仿宋_GB2312" w:eastAsia="仿宋_GB2312" w:cs="仿宋_GB2312"/>
                <w:color w:val="000000" w:themeColor="text1"/>
                <w:szCs w:val="21"/>
                <w:lang w:val="zh-CN" w:eastAsia="zh-CN"/>
                <w14:textFill>
                  <w14:solidFill>
                    <w14:schemeClr w14:val="tx1"/>
                  </w14:solidFill>
                </w14:textFill>
              </w:rPr>
              <w:t>的风险识别维度完整，涵盖项目潜在风险，能详细明确风险成因和影响程度，</w:t>
            </w:r>
            <w:r>
              <w:rPr>
                <w:rFonts w:ascii="仿宋_GB2312" w:hAnsi="仿宋_GB2312" w:eastAsia="仿宋_GB2312" w:cs="仿宋_GB2312"/>
                <w:color w:val="000000" w:themeColor="text1"/>
                <w:szCs w:val="21"/>
                <w:lang w:eastAsia="zh-CN"/>
                <w14:textFill>
                  <w14:solidFill>
                    <w14:schemeClr w14:val="tx1"/>
                  </w14:solidFill>
                </w14:textFill>
              </w:rPr>
              <w:t>控制措施贴合风险特性</w:t>
            </w:r>
            <w:r>
              <w:rPr>
                <w:rFonts w:hint="eastAsia" w:ascii="仿宋_GB2312" w:hAnsi="仿宋_GB2312" w:eastAsia="仿宋_GB2312" w:cs="仿宋_GB2312"/>
                <w:color w:val="000000" w:themeColor="text1"/>
                <w:szCs w:val="21"/>
                <w:lang w:eastAsia="zh-CN"/>
                <w14:textFill>
                  <w14:solidFill>
                    <w14:schemeClr w14:val="tx1"/>
                  </w14:solidFill>
                </w14:textFill>
              </w:rPr>
              <w:t>程度高</w:t>
            </w:r>
            <w:r>
              <w:rPr>
                <w:rFonts w:ascii="仿宋_GB2312" w:hAnsi="仿宋_GB2312" w:eastAsia="仿宋_GB2312" w:cs="仿宋_GB2312"/>
                <w:color w:val="000000" w:themeColor="text1"/>
                <w:szCs w:val="21"/>
                <w:lang w:eastAsia="zh-CN"/>
                <w14:textFill>
                  <w14:solidFill>
                    <w14:schemeClr w14:val="tx1"/>
                  </w14:solidFill>
                </w14:textFill>
              </w:rPr>
              <w:t>，针对性和可操作性</w:t>
            </w:r>
            <w:r>
              <w:rPr>
                <w:rFonts w:hint="eastAsia" w:ascii="仿宋_GB2312" w:hAnsi="仿宋_GB2312" w:eastAsia="仿宋_GB2312" w:cs="仿宋_GB2312"/>
                <w:color w:val="000000" w:themeColor="text1"/>
                <w:szCs w:val="21"/>
                <w:lang w:val="zh-CN" w:eastAsia="zh-CN"/>
                <w14:textFill>
                  <w14:solidFill>
                    <w14:schemeClr w14:val="tx1"/>
                  </w14:solidFill>
                </w14:textFill>
              </w:rPr>
              <w:t>高的得1</w:t>
            </w:r>
            <w:r>
              <w:rPr>
                <w:rFonts w:hint="eastAsia" w:ascii="仿宋_GB2312" w:hAnsi="仿宋_GB2312" w:eastAsia="仿宋_GB2312" w:cs="仿宋_GB2312"/>
                <w:color w:val="000000" w:themeColor="text1"/>
                <w:szCs w:val="21"/>
                <w:lang w:eastAsia="zh-CN"/>
                <w14:textFill>
                  <w14:solidFill>
                    <w14:schemeClr w14:val="tx1"/>
                  </w14:solidFill>
                </w14:textFill>
              </w:rPr>
              <w:t>5</w:t>
            </w:r>
            <w:r>
              <w:rPr>
                <w:rFonts w:hint="eastAsia" w:ascii="仿宋_GB2312" w:hAnsi="仿宋_GB2312" w:eastAsia="仿宋_GB2312" w:cs="仿宋_GB2312"/>
                <w:color w:val="000000" w:themeColor="text1"/>
                <w:szCs w:val="21"/>
                <w:lang w:val="zh-CN" w:eastAsia="zh-CN"/>
                <w14:textFill>
                  <w14:solidFill>
                    <w14:schemeClr w14:val="tx1"/>
                  </w14:solidFill>
                </w14:textFill>
              </w:rPr>
              <w:t>分；</w:t>
            </w:r>
          </w:p>
          <w:p>
            <w:pPr>
              <w:rPr>
                <w:rFonts w:hint="eastAsia" w:ascii="仿宋_GB2312" w:hAnsi="仿宋_GB2312" w:eastAsia="仿宋_GB2312" w:cs="仿宋_GB2312"/>
                <w:color w:val="000000" w:themeColor="text1"/>
                <w:szCs w:val="21"/>
                <w:lang w:val="zh-CN"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2.</w:t>
            </w:r>
            <w:r>
              <w:rPr>
                <w:rFonts w:hint="eastAsia"/>
                <w:lang w:eastAsia="zh-CN"/>
              </w:rPr>
              <w:t xml:space="preserve"> </w:t>
            </w:r>
            <w:r>
              <w:rPr>
                <w:rFonts w:ascii="仿宋_GB2312" w:hAnsi="仿宋_GB2312" w:eastAsia="仿宋_GB2312" w:cs="仿宋_GB2312"/>
                <w:color w:val="000000" w:themeColor="text1"/>
                <w:szCs w:val="21"/>
                <w:lang w:val="zh-CN" w:eastAsia="zh-CN"/>
                <w14:textFill>
                  <w14:solidFill>
                    <w14:schemeClr w14:val="tx1"/>
                  </w14:solidFill>
                </w14:textFill>
              </w:rPr>
              <w:t>风险控制服务方案的风险识别维度</w:t>
            </w:r>
            <w:r>
              <w:rPr>
                <w:rFonts w:hint="eastAsia" w:ascii="仿宋_GB2312" w:hAnsi="仿宋_GB2312" w:eastAsia="仿宋_GB2312" w:cs="仿宋_GB2312"/>
                <w:color w:val="000000" w:themeColor="text1"/>
                <w:szCs w:val="21"/>
                <w:lang w:val="zh-CN" w:eastAsia="zh-CN"/>
                <w14:textFill>
                  <w14:solidFill>
                    <w14:schemeClr w14:val="tx1"/>
                  </w14:solidFill>
                </w14:textFill>
              </w:rPr>
              <w:t>较为完整</w:t>
            </w:r>
            <w:r>
              <w:rPr>
                <w:rFonts w:ascii="仿宋_GB2312" w:hAnsi="仿宋_GB2312" w:eastAsia="仿宋_GB2312" w:cs="仿宋_GB2312"/>
                <w:color w:val="000000" w:themeColor="text1"/>
                <w:szCs w:val="21"/>
                <w:lang w:val="zh-CN" w:eastAsia="zh-CN"/>
                <w14:textFill>
                  <w14:solidFill>
                    <w14:schemeClr w14:val="tx1"/>
                  </w14:solidFill>
                </w14:textFill>
              </w:rPr>
              <w:t>，</w:t>
            </w:r>
            <w:r>
              <w:rPr>
                <w:rFonts w:hint="eastAsia" w:ascii="仿宋_GB2312" w:hAnsi="仿宋_GB2312" w:eastAsia="仿宋_GB2312" w:cs="仿宋_GB2312"/>
                <w:color w:val="000000" w:themeColor="text1"/>
                <w:szCs w:val="21"/>
                <w:lang w:val="zh-CN" w:eastAsia="zh-CN"/>
                <w14:textFill>
                  <w14:solidFill>
                    <w14:schemeClr w14:val="tx1"/>
                  </w14:solidFill>
                </w14:textFill>
              </w:rPr>
              <w:t>基本</w:t>
            </w:r>
            <w:r>
              <w:rPr>
                <w:rFonts w:ascii="仿宋_GB2312" w:hAnsi="仿宋_GB2312" w:eastAsia="仿宋_GB2312" w:cs="仿宋_GB2312"/>
                <w:color w:val="000000" w:themeColor="text1"/>
                <w:szCs w:val="21"/>
                <w:lang w:val="zh-CN" w:eastAsia="zh-CN"/>
                <w14:textFill>
                  <w14:solidFill>
                    <w14:schemeClr w14:val="tx1"/>
                  </w14:solidFill>
                </w14:textFill>
              </w:rPr>
              <w:t>涵盖项目潜在风险，</w:t>
            </w:r>
            <w:r>
              <w:rPr>
                <w:rFonts w:hint="eastAsia" w:ascii="仿宋_GB2312" w:hAnsi="仿宋_GB2312" w:eastAsia="仿宋_GB2312" w:cs="仿宋_GB2312"/>
                <w:color w:val="000000" w:themeColor="text1"/>
                <w:szCs w:val="21"/>
                <w:lang w:val="zh-CN" w:eastAsia="zh-CN"/>
                <w14:textFill>
                  <w14:solidFill>
                    <w14:schemeClr w14:val="tx1"/>
                  </w14:solidFill>
                </w14:textFill>
              </w:rPr>
              <w:t>能基本说明</w:t>
            </w:r>
            <w:r>
              <w:rPr>
                <w:rFonts w:ascii="仿宋_GB2312" w:hAnsi="仿宋_GB2312" w:eastAsia="仿宋_GB2312" w:cs="仿宋_GB2312"/>
                <w:color w:val="000000" w:themeColor="text1"/>
                <w:szCs w:val="21"/>
                <w:lang w:val="zh-CN" w:eastAsia="zh-CN"/>
                <w14:textFill>
                  <w14:solidFill>
                    <w14:schemeClr w14:val="tx1"/>
                  </w14:solidFill>
                </w14:textFill>
              </w:rPr>
              <w:t>风险成因</w:t>
            </w:r>
            <w:r>
              <w:rPr>
                <w:rFonts w:hint="eastAsia" w:ascii="仿宋_GB2312" w:hAnsi="仿宋_GB2312" w:eastAsia="仿宋_GB2312" w:cs="仿宋_GB2312"/>
                <w:color w:val="000000" w:themeColor="text1"/>
                <w:szCs w:val="21"/>
                <w:lang w:val="zh-CN" w:eastAsia="zh-CN"/>
                <w14:textFill>
                  <w14:solidFill>
                    <w14:schemeClr w14:val="tx1"/>
                  </w14:solidFill>
                </w14:textFill>
              </w:rPr>
              <w:t>和</w:t>
            </w:r>
            <w:r>
              <w:rPr>
                <w:rFonts w:ascii="仿宋_GB2312" w:hAnsi="仿宋_GB2312" w:eastAsia="仿宋_GB2312" w:cs="仿宋_GB2312"/>
                <w:color w:val="000000" w:themeColor="text1"/>
                <w:szCs w:val="21"/>
                <w:lang w:val="zh-CN" w:eastAsia="zh-CN"/>
                <w14:textFill>
                  <w14:solidFill>
                    <w14:schemeClr w14:val="tx1"/>
                  </w14:solidFill>
                </w14:textFill>
              </w:rPr>
              <w:t>影响程度，控制措施贴合风险特性</w:t>
            </w:r>
            <w:r>
              <w:rPr>
                <w:rFonts w:hint="eastAsia" w:ascii="仿宋_GB2312" w:hAnsi="仿宋_GB2312" w:eastAsia="仿宋_GB2312" w:cs="仿宋_GB2312"/>
                <w:color w:val="000000" w:themeColor="text1"/>
                <w:szCs w:val="21"/>
                <w:lang w:val="zh-CN" w:eastAsia="zh-CN"/>
                <w14:textFill>
                  <w14:solidFill>
                    <w14:schemeClr w14:val="tx1"/>
                  </w14:solidFill>
                </w14:textFill>
              </w:rPr>
              <w:t>程度一般</w:t>
            </w:r>
            <w:r>
              <w:rPr>
                <w:rFonts w:ascii="仿宋_GB2312" w:hAnsi="仿宋_GB2312" w:eastAsia="仿宋_GB2312" w:cs="仿宋_GB2312"/>
                <w:color w:val="000000" w:themeColor="text1"/>
                <w:szCs w:val="21"/>
                <w:lang w:val="zh-CN" w:eastAsia="zh-CN"/>
                <w14:textFill>
                  <w14:solidFill>
                    <w14:schemeClr w14:val="tx1"/>
                  </w14:solidFill>
                </w14:textFill>
              </w:rPr>
              <w:t>，针对性和可操作性</w:t>
            </w:r>
            <w:r>
              <w:rPr>
                <w:rFonts w:hint="eastAsia" w:ascii="仿宋_GB2312" w:hAnsi="仿宋_GB2312" w:eastAsia="仿宋_GB2312" w:cs="仿宋_GB2312"/>
                <w:color w:val="000000" w:themeColor="text1"/>
                <w:szCs w:val="21"/>
                <w:lang w:val="zh-CN" w:eastAsia="zh-CN"/>
                <w14:textFill>
                  <w14:solidFill>
                    <w14:schemeClr w14:val="tx1"/>
                  </w14:solidFill>
                </w14:textFill>
              </w:rPr>
              <w:t>一般的得</w:t>
            </w:r>
            <w:r>
              <w:rPr>
                <w:rFonts w:hint="eastAsia" w:ascii="仿宋_GB2312" w:hAnsi="仿宋_GB2312" w:eastAsia="仿宋_GB2312" w:cs="仿宋_GB2312"/>
                <w:color w:val="000000" w:themeColor="text1"/>
                <w:szCs w:val="21"/>
                <w:lang w:eastAsia="zh-CN"/>
                <w14:textFill>
                  <w14:solidFill>
                    <w14:schemeClr w14:val="tx1"/>
                  </w14:solidFill>
                </w14:textFill>
              </w:rPr>
              <w:t>10</w:t>
            </w:r>
            <w:r>
              <w:rPr>
                <w:rFonts w:hint="eastAsia" w:ascii="仿宋_GB2312" w:hAnsi="仿宋_GB2312" w:eastAsia="仿宋_GB2312" w:cs="仿宋_GB2312"/>
                <w:color w:val="000000" w:themeColor="text1"/>
                <w:szCs w:val="21"/>
                <w:lang w:val="zh-CN" w:eastAsia="zh-CN"/>
                <w14:textFill>
                  <w14:solidFill>
                    <w14:schemeClr w14:val="tx1"/>
                  </w14:solidFill>
                </w14:textFill>
              </w:rPr>
              <w:t>分；</w:t>
            </w:r>
          </w:p>
          <w:p>
            <w:pPr>
              <w:rPr>
                <w:rFonts w:hint="eastAsia" w:ascii="仿宋_GB2312" w:hAnsi="仿宋_GB2312" w:eastAsia="仿宋_GB2312" w:cs="仿宋_GB2312"/>
                <w:color w:val="000000" w:themeColor="text1"/>
                <w:szCs w:val="21"/>
                <w:lang w:val="zh-CN"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3.</w:t>
            </w:r>
            <w:r>
              <w:rPr>
                <w:rFonts w:hint="eastAsia"/>
                <w:lang w:eastAsia="zh-CN"/>
              </w:rPr>
              <w:t xml:space="preserve"> </w:t>
            </w:r>
            <w:r>
              <w:rPr>
                <w:rFonts w:ascii="仿宋_GB2312" w:hAnsi="仿宋_GB2312" w:eastAsia="仿宋_GB2312" w:cs="仿宋_GB2312"/>
                <w:color w:val="000000" w:themeColor="text1"/>
                <w:szCs w:val="21"/>
                <w:lang w:val="zh-CN" w:eastAsia="zh-CN"/>
                <w14:textFill>
                  <w14:solidFill>
                    <w14:schemeClr w14:val="tx1"/>
                  </w14:solidFill>
                </w14:textFill>
              </w:rPr>
              <w:t>风险控制服务方案的风险识别维度</w:t>
            </w:r>
            <w:r>
              <w:rPr>
                <w:rFonts w:hint="eastAsia" w:ascii="仿宋_GB2312" w:hAnsi="仿宋_GB2312" w:eastAsia="仿宋_GB2312" w:cs="仿宋_GB2312"/>
                <w:color w:val="000000" w:themeColor="text1"/>
                <w:szCs w:val="21"/>
                <w:lang w:val="zh-CN" w:eastAsia="zh-CN"/>
                <w14:textFill>
                  <w14:solidFill>
                    <w14:schemeClr w14:val="tx1"/>
                  </w14:solidFill>
                </w14:textFill>
              </w:rPr>
              <w:t>不完整</w:t>
            </w:r>
            <w:r>
              <w:rPr>
                <w:rFonts w:ascii="仿宋_GB2312" w:hAnsi="仿宋_GB2312" w:eastAsia="仿宋_GB2312" w:cs="仿宋_GB2312"/>
                <w:color w:val="000000" w:themeColor="text1"/>
                <w:szCs w:val="21"/>
                <w:lang w:val="zh-CN" w:eastAsia="zh-CN"/>
                <w14:textFill>
                  <w14:solidFill>
                    <w14:schemeClr w14:val="tx1"/>
                  </w14:solidFill>
                </w14:textFill>
              </w:rPr>
              <w:t>，</w:t>
            </w:r>
            <w:r>
              <w:rPr>
                <w:rFonts w:hint="eastAsia" w:ascii="仿宋_GB2312" w:hAnsi="仿宋_GB2312" w:eastAsia="仿宋_GB2312" w:cs="仿宋_GB2312"/>
                <w:color w:val="000000" w:themeColor="text1"/>
                <w:szCs w:val="21"/>
                <w:lang w:val="zh-CN" w:eastAsia="zh-CN"/>
                <w14:textFill>
                  <w14:solidFill>
                    <w14:schemeClr w14:val="tx1"/>
                  </w14:solidFill>
                </w14:textFill>
              </w:rPr>
              <w:t>未能</w:t>
            </w:r>
            <w:r>
              <w:rPr>
                <w:rFonts w:ascii="仿宋_GB2312" w:hAnsi="仿宋_GB2312" w:eastAsia="仿宋_GB2312" w:cs="仿宋_GB2312"/>
                <w:color w:val="000000" w:themeColor="text1"/>
                <w:szCs w:val="21"/>
                <w:lang w:val="zh-CN" w:eastAsia="zh-CN"/>
                <w14:textFill>
                  <w14:solidFill>
                    <w14:schemeClr w14:val="tx1"/>
                  </w14:solidFill>
                </w14:textFill>
              </w:rPr>
              <w:t>涵盖项目潜在风险，</w:t>
            </w:r>
            <w:r>
              <w:rPr>
                <w:rFonts w:hint="eastAsia" w:ascii="仿宋_GB2312" w:hAnsi="仿宋_GB2312" w:eastAsia="仿宋_GB2312" w:cs="仿宋_GB2312"/>
                <w:color w:val="000000" w:themeColor="text1"/>
                <w:szCs w:val="21"/>
                <w:lang w:val="zh-CN" w:eastAsia="zh-CN"/>
                <w14:textFill>
                  <w14:solidFill>
                    <w14:schemeClr w14:val="tx1"/>
                  </w14:solidFill>
                </w14:textFill>
              </w:rPr>
              <w:t>未能</w:t>
            </w:r>
            <w:r>
              <w:rPr>
                <w:rFonts w:ascii="仿宋_GB2312" w:hAnsi="仿宋_GB2312" w:eastAsia="仿宋_GB2312" w:cs="仿宋_GB2312"/>
                <w:color w:val="000000" w:themeColor="text1"/>
                <w:szCs w:val="21"/>
                <w:lang w:val="zh-CN" w:eastAsia="zh-CN"/>
                <w14:textFill>
                  <w14:solidFill>
                    <w14:schemeClr w14:val="tx1"/>
                  </w14:solidFill>
                </w14:textFill>
              </w:rPr>
              <w:t>说明风险成因</w:t>
            </w:r>
            <w:r>
              <w:rPr>
                <w:rFonts w:hint="eastAsia" w:ascii="仿宋_GB2312" w:hAnsi="仿宋_GB2312" w:eastAsia="仿宋_GB2312" w:cs="仿宋_GB2312"/>
                <w:color w:val="000000" w:themeColor="text1"/>
                <w:szCs w:val="21"/>
                <w:lang w:val="zh-CN" w:eastAsia="zh-CN"/>
                <w14:textFill>
                  <w14:solidFill>
                    <w14:schemeClr w14:val="tx1"/>
                  </w14:solidFill>
                </w14:textFill>
              </w:rPr>
              <w:t>和</w:t>
            </w:r>
            <w:r>
              <w:rPr>
                <w:rFonts w:ascii="仿宋_GB2312" w:hAnsi="仿宋_GB2312" w:eastAsia="仿宋_GB2312" w:cs="仿宋_GB2312"/>
                <w:color w:val="000000" w:themeColor="text1"/>
                <w:szCs w:val="21"/>
                <w:lang w:val="zh-CN" w:eastAsia="zh-CN"/>
                <w14:textFill>
                  <w14:solidFill>
                    <w14:schemeClr w14:val="tx1"/>
                  </w14:solidFill>
                </w14:textFill>
              </w:rPr>
              <w:t>影响程度，控制措施贴合风险特性程度</w:t>
            </w:r>
            <w:r>
              <w:rPr>
                <w:rFonts w:hint="eastAsia" w:ascii="仿宋_GB2312" w:hAnsi="仿宋_GB2312" w:eastAsia="仿宋_GB2312" w:cs="仿宋_GB2312"/>
                <w:color w:val="000000" w:themeColor="text1"/>
                <w:szCs w:val="21"/>
                <w:lang w:val="zh-CN" w:eastAsia="zh-CN"/>
                <w14:textFill>
                  <w14:solidFill>
                    <w14:schemeClr w14:val="tx1"/>
                  </w14:solidFill>
                </w14:textFill>
              </w:rPr>
              <w:t>较低</w:t>
            </w:r>
            <w:r>
              <w:rPr>
                <w:rFonts w:ascii="仿宋_GB2312" w:hAnsi="仿宋_GB2312" w:eastAsia="仿宋_GB2312" w:cs="仿宋_GB2312"/>
                <w:color w:val="000000" w:themeColor="text1"/>
                <w:szCs w:val="21"/>
                <w:lang w:val="zh-CN" w:eastAsia="zh-CN"/>
                <w14:textFill>
                  <w14:solidFill>
                    <w14:schemeClr w14:val="tx1"/>
                  </w14:solidFill>
                </w14:textFill>
              </w:rPr>
              <w:t>，针对性和可操作性</w:t>
            </w:r>
            <w:r>
              <w:rPr>
                <w:rFonts w:hint="eastAsia" w:ascii="仿宋_GB2312" w:hAnsi="仿宋_GB2312" w:eastAsia="仿宋_GB2312" w:cs="仿宋_GB2312"/>
                <w:color w:val="000000" w:themeColor="text1"/>
                <w:szCs w:val="21"/>
                <w:lang w:val="zh-CN" w:eastAsia="zh-CN"/>
                <w14:textFill>
                  <w14:solidFill>
                    <w14:schemeClr w14:val="tx1"/>
                  </w14:solidFill>
                </w14:textFill>
              </w:rPr>
              <w:t>较差</w:t>
            </w:r>
            <w:r>
              <w:rPr>
                <w:rFonts w:ascii="仿宋_GB2312" w:hAnsi="仿宋_GB2312" w:eastAsia="仿宋_GB2312" w:cs="仿宋_GB2312"/>
                <w:color w:val="000000" w:themeColor="text1"/>
                <w:szCs w:val="21"/>
                <w:lang w:val="zh-CN" w:eastAsia="zh-CN"/>
                <w14:textFill>
                  <w14:solidFill>
                    <w14:schemeClr w14:val="tx1"/>
                  </w14:solidFill>
                </w14:textFill>
              </w:rPr>
              <w:t>的得</w:t>
            </w:r>
            <w:r>
              <w:rPr>
                <w:rFonts w:hint="eastAsia" w:ascii="仿宋_GB2312" w:hAnsi="仿宋_GB2312" w:eastAsia="仿宋_GB2312" w:cs="仿宋_GB2312"/>
                <w:color w:val="000000" w:themeColor="text1"/>
                <w:szCs w:val="21"/>
                <w:lang w:eastAsia="zh-CN"/>
                <w14:textFill>
                  <w14:solidFill>
                    <w14:schemeClr w14:val="tx1"/>
                  </w14:solidFill>
                </w14:textFill>
              </w:rPr>
              <w:t>5</w:t>
            </w:r>
            <w:r>
              <w:rPr>
                <w:rFonts w:hint="eastAsia" w:ascii="仿宋_GB2312" w:hAnsi="仿宋_GB2312" w:eastAsia="仿宋_GB2312" w:cs="仿宋_GB2312"/>
                <w:color w:val="000000" w:themeColor="text1"/>
                <w:szCs w:val="21"/>
                <w:lang w:val="zh-CN" w:eastAsia="zh-CN"/>
                <w14:textFill>
                  <w14:solidFill>
                    <w14:schemeClr w14:val="tx1"/>
                  </w14:solidFill>
                </w14:textFill>
              </w:rPr>
              <w:t>分。</w:t>
            </w:r>
          </w:p>
          <w:p>
            <w:pPr>
              <w:rPr>
                <w:rFonts w:hint="eastAsia" w:ascii="仿宋_GB2312" w:hAnsi="仿宋_GB2312" w:eastAsia="仿宋_GB2312" w:cs="仿宋_GB2312"/>
                <w:color w:val="000000" w:themeColor="text1"/>
                <w:szCs w:val="21"/>
                <w:lang w:val="zh-CN"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4.未提供不得分。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技术部分</w:t>
            </w:r>
          </w:p>
        </w:tc>
        <w:tc>
          <w:tcPr>
            <w:tcW w:w="1701" w:type="dxa"/>
            <w:vAlign w:val="center"/>
          </w:tcPr>
          <w:p>
            <w:pPr>
              <w:spacing w:after="0" w:line="300" w:lineRule="auto"/>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lang w:eastAsia="zh-Hans"/>
                <w14:textFill>
                  <w14:solidFill>
                    <w14:schemeClr w14:val="tx1"/>
                  </w14:solidFill>
                </w14:textFill>
              </w:rPr>
              <w:t>应急保障方案</w:t>
            </w:r>
          </w:p>
        </w:tc>
        <w:tc>
          <w:tcPr>
            <w:tcW w:w="850"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1</w:t>
            </w:r>
            <w:r>
              <w:rPr>
                <w:rFonts w:hint="eastAsia" w:ascii="仿宋_GB2312" w:hAnsi="仿宋_GB2312" w:eastAsia="仿宋_GB2312" w:cs="仿宋_GB2312"/>
                <w:color w:val="000000" w:themeColor="text1"/>
                <w:szCs w:val="21"/>
                <w:lang w:eastAsia="zh-CN"/>
                <w14:textFill>
                  <w14:solidFill>
                    <w14:schemeClr w14:val="tx1"/>
                  </w14:solidFill>
                </w14:textFill>
              </w:rPr>
              <w:t>2</w:t>
            </w:r>
            <w:r>
              <w:rPr>
                <w:rFonts w:hint="eastAsia" w:ascii="仿宋_GB2312" w:hAnsi="仿宋_GB2312" w:eastAsia="仿宋_GB2312" w:cs="仿宋_GB2312"/>
                <w:color w:val="000000" w:themeColor="text1"/>
                <w:szCs w:val="21"/>
                <w14:textFill>
                  <w14:solidFill>
                    <w14:schemeClr w14:val="tx1"/>
                  </w14:solidFill>
                </w14:textFill>
              </w:rPr>
              <w:t>分</w:t>
            </w:r>
          </w:p>
        </w:tc>
        <w:tc>
          <w:tcPr>
            <w:tcW w:w="5159" w:type="dxa"/>
            <w:vAlign w:val="center"/>
          </w:tcPr>
          <w:p>
            <w:pPr>
              <w:rPr>
                <w:rFonts w:hint="eastAsia" w:ascii="仿宋_GB2312" w:hAnsi="仿宋_GB2312" w:eastAsia="仿宋_GB2312" w:cs="仿宋_GB2312"/>
                <w:color w:val="000000" w:themeColor="text1"/>
                <w:szCs w:val="21"/>
                <w:lang w:val="zh-CN" w:eastAsia="zh-CN"/>
                <w14:textFill>
                  <w14:solidFill>
                    <w14:schemeClr w14:val="tx1"/>
                  </w14:solidFill>
                </w14:textFill>
              </w:rPr>
            </w:pPr>
            <w:r>
              <w:rPr>
                <w:rFonts w:hint="eastAsia" w:ascii="仿宋_GB2312" w:hAnsi="仿宋_GB2312" w:eastAsia="仿宋_GB2312" w:cs="仿宋_GB2312"/>
                <w:color w:val="000000" w:themeColor="text1"/>
                <w:szCs w:val="21"/>
                <w:lang w:val="zh-CN" w:eastAsia="zh-CN"/>
                <w14:textFill>
                  <w14:solidFill>
                    <w14:schemeClr w14:val="tx1"/>
                  </w14:solidFill>
                </w14:textFill>
              </w:rPr>
              <w:t>根据应急保障方案所包含的应急处置方法、应急处理</w:t>
            </w:r>
          </w:p>
          <w:p>
            <w:pPr>
              <w:rPr>
                <w:rFonts w:hint="eastAsia" w:ascii="仿宋_GB2312" w:hAnsi="仿宋_GB2312" w:eastAsia="仿宋_GB2312" w:cs="仿宋_GB2312"/>
                <w:color w:val="000000" w:themeColor="text1"/>
                <w:szCs w:val="21"/>
                <w:lang w:val="zh-CN" w:eastAsia="zh-CN"/>
                <w14:textFill>
                  <w14:solidFill>
                    <w14:schemeClr w14:val="tx1"/>
                  </w14:solidFill>
                </w14:textFill>
              </w:rPr>
            </w:pPr>
            <w:r>
              <w:rPr>
                <w:rFonts w:hint="eastAsia" w:ascii="仿宋_GB2312" w:hAnsi="仿宋_GB2312" w:eastAsia="仿宋_GB2312" w:cs="仿宋_GB2312"/>
                <w:color w:val="000000" w:themeColor="text1"/>
                <w:szCs w:val="21"/>
                <w:lang w:val="zh-CN" w:eastAsia="zh-CN"/>
                <w14:textFill>
                  <w14:solidFill>
                    <w14:schemeClr w14:val="tx1"/>
                  </w14:solidFill>
                </w14:textFill>
              </w:rPr>
              <w:t>服务流程、</w:t>
            </w:r>
            <w:r>
              <w:rPr>
                <w:rFonts w:ascii="仿宋_GB2312" w:hAnsi="仿宋_GB2312" w:eastAsia="仿宋_GB2312" w:cs="仿宋_GB2312"/>
                <w:color w:val="000000" w:themeColor="text1"/>
                <w:szCs w:val="21"/>
                <w:lang w:val="zh-CN" w:eastAsia="zh-CN"/>
                <w14:textFill>
                  <w14:solidFill>
                    <w14:schemeClr w14:val="tx1"/>
                  </w14:solidFill>
                </w14:textFill>
              </w:rPr>
              <w:t>应急小组组织架构</w:t>
            </w:r>
            <w:r>
              <w:rPr>
                <w:rFonts w:hint="eastAsia" w:ascii="仿宋_GB2312" w:hAnsi="仿宋_GB2312" w:eastAsia="仿宋_GB2312" w:cs="仿宋_GB2312"/>
                <w:color w:val="000000" w:themeColor="text1"/>
                <w:szCs w:val="21"/>
                <w:lang w:val="zh-CN" w:eastAsia="zh-CN"/>
                <w14:textFill>
                  <w14:solidFill>
                    <w14:schemeClr w14:val="tx1"/>
                  </w14:solidFill>
                </w14:textFill>
              </w:rPr>
              <w:t>等内容进行评分：</w:t>
            </w:r>
          </w:p>
          <w:p>
            <w:pPr>
              <w:rPr>
                <w:rFonts w:hint="eastAsia" w:ascii="仿宋_GB2312" w:hAnsi="仿宋_GB2312" w:eastAsia="仿宋_GB2312" w:cs="仿宋_GB2312"/>
                <w:color w:val="000000" w:themeColor="text1"/>
                <w:szCs w:val="21"/>
                <w:lang w:val="zh-CN" w:eastAsia="zh-CN"/>
                <w14:textFill>
                  <w14:solidFill>
                    <w14:schemeClr w14:val="tx1"/>
                  </w14:solidFill>
                </w14:textFill>
              </w:rPr>
            </w:pPr>
            <w:r>
              <w:rPr>
                <w:rFonts w:hint="eastAsia" w:ascii="仿宋_GB2312" w:hAnsi="仿宋_GB2312" w:eastAsia="仿宋_GB2312" w:cs="仿宋_GB2312"/>
                <w:color w:val="000000" w:themeColor="text1"/>
                <w:szCs w:val="21"/>
                <w:lang w:val="zh-CN" w:eastAsia="zh-CN"/>
                <w14:textFill>
                  <w14:solidFill>
                    <w14:schemeClr w14:val="tx1"/>
                  </w14:solidFill>
                </w14:textFill>
              </w:rPr>
              <w:t>1</w:t>
            </w:r>
            <w:r>
              <w:rPr>
                <w:rFonts w:hint="eastAsia" w:ascii="仿宋_GB2312" w:hAnsi="仿宋_GB2312" w:eastAsia="仿宋_GB2312" w:cs="仿宋_GB2312"/>
                <w:color w:val="000000" w:themeColor="text1"/>
                <w:szCs w:val="21"/>
                <w:lang w:eastAsia="zh-CN"/>
                <w14:textFill>
                  <w14:solidFill>
                    <w14:schemeClr w14:val="tx1"/>
                  </w14:solidFill>
                </w14:textFill>
              </w:rPr>
              <w:t>.</w:t>
            </w:r>
            <w:r>
              <w:rPr>
                <w:rFonts w:hint="eastAsia" w:ascii="仿宋_GB2312" w:hAnsi="仿宋_GB2312" w:eastAsia="仿宋_GB2312" w:cs="仿宋_GB2312"/>
                <w:color w:val="000000" w:themeColor="text1"/>
                <w:szCs w:val="21"/>
                <w:lang w:val="zh-CN" w:eastAsia="zh-CN"/>
                <w14:textFill>
                  <w14:solidFill>
                    <w14:schemeClr w14:val="tx1"/>
                  </w14:solidFill>
                </w14:textFill>
              </w:rPr>
              <w:t>应急保障方案的应急处置方法具体明确，应急处理流程清晰完备，应急小组架构完整和责任明确，可行性高的得1</w:t>
            </w:r>
            <w:r>
              <w:rPr>
                <w:rFonts w:hint="eastAsia" w:ascii="仿宋_GB2312" w:hAnsi="仿宋_GB2312" w:eastAsia="仿宋_GB2312" w:cs="仿宋_GB2312"/>
                <w:color w:val="000000" w:themeColor="text1"/>
                <w:szCs w:val="21"/>
                <w:lang w:eastAsia="zh-CN"/>
                <w14:textFill>
                  <w14:solidFill>
                    <w14:schemeClr w14:val="tx1"/>
                  </w14:solidFill>
                </w14:textFill>
              </w:rPr>
              <w:t>2</w:t>
            </w:r>
            <w:r>
              <w:rPr>
                <w:rFonts w:hint="eastAsia" w:ascii="仿宋_GB2312" w:hAnsi="仿宋_GB2312" w:eastAsia="仿宋_GB2312" w:cs="仿宋_GB2312"/>
                <w:color w:val="000000" w:themeColor="text1"/>
                <w:szCs w:val="21"/>
                <w:lang w:val="zh-CN" w:eastAsia="zh-CN"/>
                <w14:textFill>
                  <w14:solidFill>
                    <w14:schemeClr w14:val="tx1"/>
                  </w14:solidFill>
                </w14:textFill>
              </w:rPr>
              <w:t>分；</w:t>
            </w:r>
          </w:p>
          <w:p>
            <w:pPr>
              <w:rPr>
                <w:rFonts w:hint="eastAsia" w:ascii="仿宋_GB2312" w:hAnsi="仿宋_GB2312" w:eastAsia="仿宋_GB2312" w:cs="仿宋_GB2312"/>
                <w:color w:val="000000" w:themeColor="text1"/>
                <w:szCs w:val="21"/>
                <w:lang w:val="zh-CN"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2.</w:t>
            </w:r>
            <w:r>
              <w:rPr>
                <w:rFonts w:ascii="仿宋_GB2312" w:hAnsi="仿宋_GB2312" w:eastAsia="仿宋_GB2312" w:cs="仿宋_GB2312"/>
                <w:color w:val="000000" w:themeColor="text1"/>
                <w:szCs w:val="21"/>
                <w:lang w:val="zh-CN" w:eastAsia="zh-CN"/>
                <w14:textFill>
                  <w14:solidFill>
                    <w14:schemeClr w14:val="tx1"/>
                  </w14:solidFill>
                </w14:textFill>
              </w:rPr>
              <w:t>应急保障方案的应急处置方法</w:t>
            </w:r>
            <w:r>
              <w:rPr>
                <w:rFonts w:hint="eastAsia" w:ascii="仿宋_GB2312" w:hAnsi="仿宋_GB2312" w:eastAsia="仿宋_GB2312" w:cs="仿宋_GB2312"/>
                <w:color w:val="000000" w:themeColor="text1"/>
                <w:szCs w:val="21"/>
                <w:lang w:val="zh-CN" w:eastAsia="zh-CN"/>
                <w14:textFill>
                  <w14:solidFill>
                    <w14:schemeClr w14:val="tx1"/>
                  </w14:solidFill>
                </w14:textFill>
              </w:rPr>
              <w:t>基本明确</w:t>
            </w:r>
            <w:r>
              <w:rPr>
                <w:rFonts w:ascii="仿宋_GB2312" w:hAnsi="仿宋_GB2312" w:eastAsia="仿宋_GB2312" w:cs="仿宋_GB2312"/>
                <w:color w:val="000000" w:themeColor="text1"/>
                <w:szCs w:val="21"/>
                <w:lang w:val="zh-CN" w:eastAsia="zh-CN"/>
                <w14:textFill>
                  <w14:solidFill>
                    <w14:schemeClr w14:val="tx1"/>
                  </w14:solidFill>
                </w14:textFill>
              </w:rPr>
              <w:t>，应急处理流程</w:t>
            </w:r>
            <w:r>
              <w:rPr>
                <w:rFonts w:hint="eastAsia" w:ascii="仿宋_GB2312" w:hAnsi="仿宋_GB2312" w:eastAsia="仿宋_GB2312" w:cs="仿宋_GB2312"/>
                <w:color w:val="000000" w:themeColor="text1"/>
                <w:szCs w:val="21"/>
                <w:lang w:val="zh-CN" w:eastAsia="zh-CN"/>
                <w14:textFill>
                  <w14:solidFill>
                    <w14:schemeClr w14:val="tx1"/>
                  </w14:solidFill>
                </w14:textFill>
              </w:rPr>
              <w:t>基本完备</w:t>
            </w:r>
            <w:r>
              <w:rPr>
                <w:rFonts w:ascii="仿宋_GB2312" w:hAnsi="仿宋_GB2312" w:eastAsia="仿宋_GB2312" w:cs="仿宋_GB2312"/>
                <w:color w:val="000000" w:themeColor="text1"/>
                <w:szCs w:val="21"/>
                <w:lang w:val="zh-CN" w:eastAsia="zh-CN"/>
                <w14:textFill>
                  <w14:solidFill>
                    <w14:schemeClr w14:val="tx1"/>
                  </w14:solidFill>
                </w14:textFill>
              </w:rPr>
              <w:t>，应急小组架构</w:t>
            </w:r>
            <w:r>
              <w:rPr>
                <w:rFonts w:hint="eastAsia" w:ascii="仿宋_GB2312" w:hAnsi="仿宋_GB2312" w:eastAsia="仿宋_GB2312" w:cs="仿宋_GB2312"/>
                <w:color w:val="000000" w:themeColor="text1"/>
                <w:szCs w:val="21"/>
                <w:lang w:val="zh-CN" w:eastAsia="zh-CN"/>
                <w14:textFill>
                  <w14:solidFill>
                    <w14:schemeClr w14:val="tx1"/>
                  </w14:solidFill>
                </w14:textFill>
              </w:rPr>
              <w:t>基本</w:t>
            </w:r>
            <w:r>
              <w:rPr>
                <w:rFonts w:ascii="仿宋_GB2312" w:hAnsi="仿宋_GB2312" w:eastAsia="仿宋_GB2312" w:cs="仿宋_GB2312"/>
                <w:color w:val="000000" w:themeColor="text1"/>
                <w:szCs w:val="21"/>
                <w:lang w:val="zh-CN" w:eastAsia="zh-CN"/>
                <w14:textFill>
                  <w14:solidFill>
                    <w14:schemeClr w14:val="tx1"/>
                  </w14:solidFill>
                </w14:textFill>
              </w:rPr>
              <w:t>完整，可行性</w:t>
            </w:r>
            <w:r>
              <w:rPr>
                <w:rFonts w:hint="eastAsia" w:ascii="仿宋_GB2312" w:hAnsi="仿宋_GB2312" w:eastAsia="仿宋_GB2312" w:cs="仿宋_GB2312"/>
                <w:color w:val="000000" w:themeColor="text1"/>
                <w:szCs w:val="21"/>
                <w:lang w:val="zh-CN" w:eastAsia="zh-CN"/>
                <w14:textFill>
                  <w14:solidFill>
                    <w14:schemeClr w14:val="tx1"/>
                  </w14:solidFill>
                </w14:textFill>
              </w:rPr>
              <w:t>一般</w:t>
            </w:r>
            <w:r>
              <w:rPr>
                <w:rFonts w:ascii="仿宋_GB2312" w:hAnsi="仿宋_GB2312" w:eastAsia="仿宋_GB2312" w:cs="仿宋_GB2312"/>
                <w:color w:val="000000" w:themeColor="text1"/>
                <w:szCs w:val="21"/>
                <w:lang w:val="zh-CN" w:eastAsia="zh-CN"/>
                <w14:textFill>
                  <w14:solidFill>
                    <w14:schemeClr w14:val="tx1"/>
                  </w14:solidFill>
                </w14:textFill>
              </w:rPr>
              <w:t>的</w:t>
            </w:r>
            <w:r>
              <w:rPr>
                <w:rFonts w:hint="eastAsia" w:ascii="仿宋_GB2312" w:hAnsi="仿宋_GB2312" w:eastAsia="仿宋_GB2312" w:cs="仿宋_GB2312"/>
                <w:color w:val="000000" w:themeColor="text1"/>
                <w:szCs w:val="21"/>
                <w:lang w:val="zh-CN" w:eastAsia="zh-CN"/>
                <w14:textFill>
                  <w14:solidFill>
                    <w14:schemeClr w14:val="tx1"/>
                  </w14:solidFill>
                </w14:textFill>
              </w:rPr>
              <w:t>得</w:t>
            </w:r>
            <w:r>
              <w:rPr>
                <w:rFonts w:hint="eastAsia" w:ascii="仿宋_GB2312" w:hAnsi="仿宋_GB2312" w:eastAsia="仿宋_GB2312" w:cs="仿宋_GB2312"/>
                <w:color w:val="000000" w:themeColor="text1"/>
                <w:szCs w:val="21"/>
                <w:lang w:eastAsia="zh-CN"/>
                <w14:textFill>
                  <w14:solidFill>
                    <w14:schemeClr w14:val="tx1"/>
                  </w14:solidFill>
                </w14:textFill>
              </w:rPr>
              <w:t>8</w:t>
            </w:r>
            <w:r>
              <w:rPr>
                <w:rFonts w:hint="eastAsia" w:ascii="仿宋_GB2312" w:hAnsi="仿宋_GB2312" w:eastAsia="仿宋_GB2312" w:cs="仿宋_GB2312"/>
                <w:color w:val="000000" w:themeColor="text1"/>
                <w:szCs w:val="21"/>
                <w:lang w:val="zh-CN" w:eastAsia="zh-CN"/>
                <w14:textFill>
                  <w14:solidFill>
                    <w14:schemeClr w14:val="tx1"/>
                  </w14:solidFill>
                </w14:textFill>
              </w:rPr>
              <w:t>分；</w:t>
            </w:r>
          </w:p>
          <w:p>
            <w:pPr>
              <w:rPr>
                <w:rFonts w:hint="eastAsia" w:ascii="仿宋_GB2312" w:hAnsi="仿宋_GB2312" w:eastAsia="仿宋_GB2312" w:cs="仿宋_GB2312"/>
                <w:color w:val="000000" w:themeColor="text1"/>
                <w:szCs w:val="21"/>
                <w:lang w:val="zh-CN"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3.</w:t>
            </w:r>
            <w:r>
              <w:rPr>
                <w:rFonts w:ascii="仿宋_GB2312" w:hAnsi="仿宋_GB2312" w:eastAsia="仿宋_GB2312" w:cs="仿宋_GB2312"/>
                <w:color w:val="000000" w:themeColor="text1"/>
                <w:szCs w:val="21"/>
                <w:lang w:val="zh-CN" w:eastAsia="zh-CN"/>
                <w14:textFill>
                  <w14:solidFill>
                    <w14:schemeClr w14:val="tx1"/>
                  </w14:solidFill>
                </w14:textFill>
              </w:rPr>
              <w:t>应急保障方案的应急处置方法</w:t>
            </w:r>
            <w:r>
              <w:rPr>
                <w:rFonts w:hint="eastAsia" w:ascii="仿宋_GB2312" w:hAnsi="仿宋_GB2312" w:eastAsia="仿宋_GB2312" w:cs="仿宋_GB2312"/>
                <w:color w:val="000000" w:themeColor="text1"/>
                <w:szCs w:val="21"/>
                <w:lang w:val="zh-CN" w:eastAsia="zh-CN"/>
                <w14:textFill>
                  <w14:solidFill>
                    <w14:schemeClr w14:val="tx1"/>
                  </w14:solidFill>
                </w14:textFill>
              </w:rPr>
              <w:t>不</w:t>
            </w:r>
            <w:r>
              <w:rPr>
                <w:rFonts w:ascii="仿宋_GB2312" w:hAnsi="仿宋_GB2312" w:eastAsia="仿宋_GB2312" w:cs="仿宋_GB2312"/>
                <w:color w:val="000000" w:themeColor="text1"/>
                <w:szCs w:val="21"/>
                <w:lang w:val="zh-CN" w:eastAsia="zh-CN"/>
                <w14:textFill>
                  <w14:solidFill>
                    <w14:schemeClr w14:val="tx1"/>
                  </w14:solidFill>
                </w14:textFill>
              </w:rPr>
              <w:t>明确，应急处理流程</w:t>
            </w:r>
            <w:r>
              <w:rPr>
                <w:rFonts w:hint="eastAsia" w:ascii="仿宋_GB2312" w:hAnsi="仿宋_GB2312" w:eastAsia="仿宋_GB2312" w:cs="仿宋_GB2312"/>
                <w:color w:val="000000" w:themeColor="text1"/>
                <w:szCs w:val="21"/>
                <w:lang w:val="zh-CN" w:eastAsia="zh-CN"/>
                <w14:textFill>
                  <w14:solidFill>
                    <w14:schemeClr w14:val="tx1"/>
                  </w14:solidFill>
                </w14:textFill>
              </w:rPr>
              <w:t>不</w:t>
            </w:r>
            <w:r>
              <w:rPr>
                <w:rFonts w:ascii="仿宋_GB2312" w:hAnsi="仿宋_GB2312" w:eastAsia="仿宋_GB2312" w:cs="仿宋_GB2312"/>
                <w:color w:val="000000" w:themeColor="text1"/>
                <w:szCs w:val="21"/>
                <w:lang w:val="zh-CN" w:eastAsia="zh-CN"/>
                <w14:textFill>
                  <w14:solidFill>
                    <w14:schemeClr w14:val="tx1"/>
                  </w14:solidFill>
                </w14:textFill>
              </w:rPr>
              <w:t>完备，应急小组架构</w:t>
            </w:r>
            <w:r>
              <w:rPr>
                <w:rFonts w:hint="eastAsia" w:ascii="仿宋_GB2312" w:hAnsi="仿宋_GB2312" w:eastAsia="仿宋_GB2312" w:cs="仿宋_GB2312"/>
                <w:color w:val="000000" w:themeColor="text1"/>
                <w:szCs w:val="21"/>
                <w:lang w:val="zh-CN" w:eastAsia="zh-CN"/>
                <w14:textFill>
                  <w14:solidFill>
                    <w14:schemeClr w14:val="tx1"/>
                  </w14:solidFill>
                </w14:textFill>
              </w:rPr>
              <w:t>不</w:t>
            </w:r>
            <w:r>
              <w:rPr>
                <w:rFonts w:ascii="仿宋_GB2312" w:hAnsi="仿宋_GB2312" w:eastAsia="仿宋_GB2312" w:cs="仿宋_GB2312"/>
                <w:color w:val="000000" w:themeColor="text1"/>
                <w:szCs w:val="21"/>
                <w:lang w:val="zh-CN" w:eastAsia="zh-CN"/>
                <w14:textFill>
                  <w14:solidFill>
                    <w14:schemeClr w14:val="tx1"/>
                  </w14:solidFill>
                </w14:textFill>
              </w:rPr>
              <w:t>完整，可行性</w:t>
            </w:r>
            <w:r>
              <w:rPr>
                <w:rFonts w:hint="eastAsia" w:ascii="仿宋_GB2312" w:hAnsi="仿宋_GB2312" w:eastAsia="仿宋_GB2312" w:cs="仿宋_GB2312"/>
                <w:color w:val="000000" w:themeColor="text1"/>
                <w:szCs w:val="21"/>
                <w:lang w:val="zh-CN" w:eastAsia="zh-CN"/>
                <w14:textFill>
                  <w14:solidFill>
                    <w14:schemeClr w14:val="tx1"/>
                  </w14:solidFill>
                </w14:textFill>
              </w:rPr>
              <w:t>差</w:t>
            </w:r>
            <w:r>
              <w:rPr>
                <w:rFonts w:ascii="仿宋_GB2312" w:hAnsi="仿宋_GB2312" w:eastAsia="仿宋_GB2312" w:cs="仿宋_GB2312"/>
                <w:color w:val="000000" w:themeColor="text1"/>
                <w:szCs w:val="21"/>
                <w:lang w:val="zh-CN" w:eastAsia="zh-CN"/>
                <w14:textFill>
                  <w14:solidFill>
                    <w14:schemeClr w14:val="tx1"/>
                  </w14:solidFill>
                </w14:textFill>
              </w:rPr>
              <w:t>的得</w:t>
            </w:r>
            <w:r>
              <w:rPr>
                <w:rFonts w:hint="eastAsia" w:ascii="仿宋_GB2312" w:hAnsi="仿宋_GB2312" w:eastAsia="仿宋_GB2312" w:cs="仿宋_GB2312"/>
                <w:color w:val="000000" w:themeColor="text1"/>
                <w:szCs w:val="21"/>
                <w:lang w:val="zh-CN" w:eastAsia="zh-CN"/>
                <w14:textFill>
                  <w14:solidFill>
                    <w14:schemeClr w14:val="tx1"/>
                  </w14:solidFill>
                </w14:textFill>
              </w:rPr>
              <w:t>4</w:t>
            </w:r>
            <w:r>
              <w:rPr>
                <w:rFonts w:ascii="仿宋_GB2312" w:hAnsi="仿宋_GB2312" w:eastAsia="仿宋_GB2312" w:cs="仿宋_GB2312"/>
                <w:color w:val="000000" w:themeColor="text1"/>
                <w:szCs w:val="21"/>
                <w:lang w:val="zh-CN" w:eastAsia="zh-CN"/>
                <w14:textFill>
                  <w14:solidFill>
                    <w14:schemeClr w14:val="tx1"/>
                  </w14:solidFill>
                </w14:textFill>
              </w:rPr>
              <w:t>分</w:t>
            </w:r>
            <w:r>
              <w:rPr>
                <w:rFonts w:hint="eastAsia" w:ascii="仿宋_GB2312" w:hAnsi="仿宋_GB2312" w:eastAsia="仿宋_GB2312" w:cs="仿宋_GB2312"/>
                <w:color w:val="000000" w:themeColor="text1"/>
                <w:szCs w:val="21"/>
                <w:lang w:val="zh-CN" w:eastAsia="zh-CN"/>
                <w14:textFill>
                  <w14:solidFill>
                    <w14:schemeClr w14:val="tx1"/>
                  </w14:solidFill>
                </w14:textFill>
              </w:rPr>
              <w:t>。</w:t>
            </w:r>
          </w:p>
          <w:p>
            <w:pP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4.未提供不得分。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5" w:hRule="atLeast"/>
          <w:jc w:val="center"/>
        </w:trPr>
        <w:tc>
          <w:tcPr>
            <w:tcW w:w="1134"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技术部分</w:t>
            </w:r>
          </w:p>
        </w:tc>
        <w:tc>
          <w:tcPr>
            <w:tcW w:w="1701" w:type="dxa"/>
            <w:vAlign w:val="center"/>
          </w:tcPr>
          <w:p>
            <w:pPr>
              <w:spacing w:after="0" w:line="300" w:lineRule="auto"/>
              <w:rPr>
                <w:rFonts w:hint="eastAsia" w:ascii="仿宋_GB2312" w:hAnsi="仿宋_GB2312" w:eastAsia="仿宋_GB2312" w:cs="仿宋_GB2312"/>
                <w:color w:val="000000" w:themeColor="text1"/>
                <w:szCs w:val="21"/>
                <w:lang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项目负责人</w:t>
            </w:r>
          </w:p>
        </w:tc>
        <w:tc>
          <w:tcPr>
            <w:tcW w:w="850"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6</w:t>
            </w:r>
            <w:r>
              <w:rPr>
                <w:rFonts w:hint="eastAsia" w:ascii="仿宋_GB2312" w:hAnsi="仿宋_GB2312" w:eastAsia="仿宋_GB2312" w:cs="仿宋_GB2312"/>
                <w:color w:val="000000" w:themeColor="text1"/>
                <w:szCs w:val="21"/>
                <w14:textFill>
                  <w14:solidFill>
                    <w14:schemeClr w14:val="tx1"/>
                  </w14:solidFill>
                </w14:textFill>
              </w:rPr>
              <w:t>分</w:t>
            </w:r>
          </w:p>
        </w:tc>
        <w:tc>
          <w:tcPr>
            <w:tcW w:w="5159" w:type="dxa"/>
            <w:vAlign w:val="center"/>
          </w:tcPr>
          <w:p>
            <w:pPr>
              <w:pStyle w:val="41"/>
              <w:spacing w:after="0" w:line="360" w:lineRule="exact"/>
              <w:ind w:left="0" w:leftChars="0" w:firstLine="0" w:firstLineChars="0"/>
              <w:rPr>
                <w:rFonts w:hint="eastAsia" w:hAnsi="仿宋_GB2312" w:cs="仿宋_GB2312"/>
                <w:color w:val="000000" w:themeColor="text1"/>
                <w:sz w:val="21"/>
                <w:szCs w:val="21"/>
                <w:lang w:val="zh-CN"/>
                <w14:textFill>
                  <w14:solidFill>
                    <w14:schemeClr w14:val="tx1"/>
                  </w14:solidFill>
                </w14:textFill>
              </w:rPr>
            </w:pPr>
            <w:r>
              <w:rPr>
                <w:rFonts w:hint="eastAsia" w:hAnsi="仿宋_GB2312" w:cs="仿宋_GB2312"/>
                <w:color w:val="000000" w:themeColor="text1"/>
                <w:sz w:val="21"/>
                <w:szCs w:val="21"/>
                <w:lang w:val="zh-CN"/>
                <w14:textFill>
                  <w14:solidFill>
                    <w14:schemeClr w14:val="tx1"/>
                  </w14:solidFill>
                </w14:textFill>
              </w:rPr>
              <w:t>项目负责人具有：</w:t>
            </w:r>
          </w:p>
          <w:p>
            <w:pPr>
              <w:pStyle w:val="41"/>
              <w:numPr>
                <w:ilvl w:val="0"/>
                <w:numId w:val="1"/>
              </w:numPr>
              <w:spacing w:after="0" w:line="360" w:lineRule="exact"/>
              <w:ind w:left="0" w:leftChars="0" w:firstLine="0" w:firstLineChars="0"/>
              <w:rPr>
                <w:rFonts w:hint="eastAsia" w:hAnsi="仿宋_GB2312" w:cs="仿宋_GB2312"/>
                <w:color w:val="000000" w:themeColor="text1"/>
                <w:sz w:val="21"/>
                <w:szCs w:val="21"/>
                <w:lang w:val="zh-CN"/>
                <w14:textFill>
                  <w14:solidFill>
                    <w14:schemeClr w14:val="tx1"/>
                  </w14:solidFill>
                </w14:textFill>
              </w:rPr>
            </w:pPr>
            <w:r>
              <w:rPr>
                <w:rFonts w:hint="eastAsia" w:hAnsi="仿宋_GB2312" w:cs="仿宋_GB2312"/>
                <w:color w:val="000000" w:themeColor="text1"/>
                <w:sz w:val="21"/>
                <w:szCs w:val="21"/>
                <w:lang w:val="zh-CN"/>
                <w14:textFill>
                  <w14:solidFill>
                    <w14:schemeClr w14:val="tx1"/>
                  </w14:solidFill>
                </w14:textFill>
              </w:rPr>
              <w:t>具有公安部关键信息基础设施保护中心信息安全等级测评师证书（高级）或网络安全等级测评师证书（高级）；</w:t>
            </w:r>
          </w:p>
          <w:p>
            <w:pPr>
              <w:pStyle w:val="41"/>
              <w:spacing w:after="0" w:line="360" w:lineRule="exact"/>
              <w:ind w:left="0" w:leftChars="0" w:firstLine="0" w:firstLineChars="0"/>
              <w:rPr>
                <w:rFonts w:hint="eastAsia" w:hAnsi="仿宋_GB2312" w:cs="仿宋_GB2312"/>
                <w:color w:val="000000" w:themeColor="text1"/>
                <w:sz w:val="21"/>
                <w:szCs w:val="21"/>
                <w:lang w:val="zh-CN"/>
                <w14:textFill>
                  <w14:solidFill>
                    <w14:schemeClr w14:val="tx1"/>
                  </w14:solidFill>
                </w14:textFill>
              </w:rPr>
            </w:pPr>
            <w:r>
              <w:rPr>
                <w:rFonts w:hint="eastAsia" w:hAnsi="仿宋_GB2312" w:cs="仿宋_GB2312"/>
                <w:color w:val="000000" w:themeColor="text1"/>
                <w:sz w:val="21"/>
                <w:szCs w:val="21"/>
                <w14:textFill>
                  <w14:solidFill>
                    <w14:schemeClr w14:val="tx1"/>
                  </w14:solidFill>
                </w14:textFill>
              </w:rPr>
              <w:t>2、具有</w:t>
            </w:r>
            <w:r>
              <w:rPr>
                <w:rFonts w:hint="eastAsia" w:hAnsi="仿宋_GB2312" w:cs="仿宋_GB2312"/>
                <w:color w:val="000000" w:themeColor="text1"/>
                <w:sz w:val="21"/>
                <w:szCs w:val="21"/>
                <w:lang w:val="zh-CN"/>
                <w14:textFill>
                  <w14:solidFill>
                    <w14:schemeClr w14:val="tx1"/>
                  </w14:solidFill>
                </w14:textFill>
              </w:rPr>
              <w:t>国家密码管理部门出具的商用密码应用安全性评估从业人员考核成绩（考核合格）证明；</w:t>
            </w:r>
          </w:p>
          <w:p>
            <w:pPr>
              <w:pStyle w:val="41"/>
              <w:spacing w:after="0" w:line="360" w:lineRule="exact"/>
              <w:ind w:left="0" w:leftChars="0" w:firstLine="0" w:firstLineChars="0"/>
              <w:rPr>
                <w:rFonts w:hint="eastAsia" w:hAnsi="仿宋_GB2312" w:cs="仿宋_GB2312"/>
                <w:color w:val="000000" w:themeColor="text1"/>
                <w:sz w:val="21"/>
                <w:szCs w:val="21"/>
                <w:lang w:val="zh-CN"/>
                <w14:textFill>
                  <w14:solidFill>
                    <w14:schemeClr w14:val="tx1"/>
                  </w14:solidFill>
                </w14:textFill>
              </w:rPr>
            </w:pPr>
            <w:r>
              <w:rPr>
                <w:rFonts w:hint="eastAsia" w:hAnsi="仿宋_GB2312" w:cs="仿宋_GB2312"/>
                <w:color w:val="000000" w:themeColor="text1"/>
                <w:sz w:val="21"/>
                <w:szCs w:val="21"/>
                <w14:textFill>
                  <w14:solidFill>
                    <w14:schemeClr w14:val="tx1"/>
                  </w14:solidFill>
                </w14:textFill>
              </w:rPr>
              <w:t>3</w:t>
            </w:r>
            <w:r>
              <w:rPr>
                <w:rFonts w:hint="eastAsia" w:hAnsi="仿宋_GB2312" w:cs="仿宋_GB2312"/>
                <w:color w:val="000000" w:themeColor="text1"/>
                <w:sz w:val="21"/>
                <w:szCs w:val="21"/>
                <w:lang w:val="zh-CN"/>
                <w14:textFill>
                  <w14:solidFill>
                    <w14:schemeClr w14:val="tx1"/>
                  </w14:solidFill>
                </w14:textFill>
              </w:rPr>
              <w:t>.具有中国信息安全测评中心颁发的注册信息安全专业人员证书（CISP）；</w:t>
            </w:r>
          </w:p>
          <w:p>
            <w:pPr>
              <w:pStyle w:val="41"/>
              <w:spacing w:after="0" w:line="360" w:lineRule="exact"/>
              <w:ind w:left="0" w:leftChars="0" w:firstLine="0" w:firstLineChars="0"/>
              <w:rPr>
                <w:rFonts w:hint="eastAsia" w:hAnsi="仿宋_GB2312" w:cs="仿宋_GB2312"/>
                <w:color w:val="000000" w:themeColor="text1"/>
                <w:sz w:val="21"/>
                <w:szCs w:val="21"/>
                <w:lang w:val="zh-CN"/>
                <w14:textFill>
                  <w14:solidFill>
                    <w14:schemeClr w14:val="tx1"/>
                  </w14:solidFill>
                </w14:textFill>
              </w:rPr>
            </w:pPr>
            <w:r>
              <w:rPr>
                <w:rFonts w:hint="eastAsia" w:hAnsi="仿宋_GB2312" w:cs="仿宋_GB2312"/>
                <w:color w:val="000000" w:themeColor="text1"/>
                <w:sz w:val="21"/>
                <w:szCs w:val="21"/>
                <w:lang w:val="zh-CN"/>
                <w14:textFill>
                  <w14:solidFill>
                    <w14:schemeClr w14:val="tx1"/>
                  </w14:solidFill>
                </w14:textFill>
              </w:rPr>
              <w:t>每提供一个得2分，最高得</w:t>
            </w:r>
            <w:r>
              <w:rPr>
                <w:rFonts w:hint="eastAsia" w:hAnsi="仿宋_GB2312" w:cs="仿宋_GB2312"/>
                <w:color w:val="000000" w:themeColor="text1"/>
                <w:sz w:val="21"/>
                <w:szCs w:val="21"/>
                <w14:textFill>
                  <w14:solidFill>
                    <w14:schemeClr w14:val="tx1"/>
                  </w14:solidFill>
                </w14:textFill>
              </w:rPr>
              <w:t>6</w:t>
            </w:r>
            <w:r>
              <w:rPr>
                <w:rFonts w:hint="eastAsia" w:hAnsi="仿宋_GB2312" w:cs="仿宋_GB2312"/>
                <w:color w:val="000000" w:themeColor="text1"/>
                <w:sz w:val="21"/>
                <w:szCs w:val="21"/>
                <w:lang w:val="zh-CN"/>
                <w14:textFill>
                  <w14:solidFill>
                    <w14:schemeClr w14:val="tx1"/>
                  </w14:solidFill>
                </w14:textFill>
              </w:rPr>
              <w:t>分，不提供则不得分。</w:t>
            </w:r>
          </w:p>
          <w:p>
            <w:pPr>
              <w:pStyle w:val="41"/>
              <w:spacing w:after="0" w:line="360" w:lineRule="exact"/>
              <w:ind w:left="0" w:leftChars="0" w:firstLine="0" w:firstLineChars="0"/>
              <w:rPr>
                <w:rFonts w:hint="eastAsia" w:hAnsi="仿宋_GB2312" w:cs="仿宋_GB2312"/>
                <w:color w:val="000000" w:themeColor="text1"/>
                <w:sz w:val="21"/>
                <w:szCs w:val="21"/>
                <w14:textFill>
                  <w14:solidFill>
                    <w14:schemeClr w14:val="tx1"/>
                  </w14:solidFill>
                </w14:textFill>
              </w:rPr>
            </w:pPr>
            <w:r>
              <w:rPr>
                <w:rFonts w:hint="eastAsia" w:hAnsi="仿宋_GB2312" w:cs="仿宋_GB2312"/>
                <w:color w:val="000000" w:themeColor="text1"/>
                <w:sz w:val="21"/>
                <w:szCs w:val="21"/>
                <w:lang w:val="zh-CN"/>
                <w14:textFill>
                  <w14:solidFill>
                    <w14:schemeClr w14:val="tx1"/>
                  </w14:solidFill>
                </w14:textFill>
              </w:rPr>
              <w:t>注：</w:t>
            </w:r>
            <w:r>
              <w:rPr>
                <w:rFonts w:hint="eastAsia" w:hAnsi="仿宋_GB2312" w:cs="仿宋_GB2312"/>
                <w:color w:val="000000" w:themeColor="text1"/>
                <w:sz w:val="21"/>
                <w:szCs w:val="21"/>
                <w14:textFill>
                  <w14:solidFill>
                    <w14:schemeClr w14:val="tx1"/>
                  </w14:solidFill>
                </w14:textFill>
              </w:rPr>
              <w:t>投标文件须同时提供人员相关证书复印件及距开标前6个月内（不含开标当月）任意1个月在投标人单位缴纳社保证明复印件，并加盖投标人公章</w:t>
            </w:r>
            <w:r>
              <w:rPr>
                <w:rFonts w:hint="eastAsia" w:hAnsi="仿宋_GB2312" w:cs="仿宋_GB2312"/>
                <w:color w:val="000000" w:themeColor="text1"/>
                <w:sz w:val="21"/>
                <w:szCs w:val="21"/>
                <w:lang w:val="zh-CN"/>
                <w14:textFill>
                  <w14:solidFill>
                    <w14:schemeClr w14:val="tx1"/>
                  </w14:solidFill>
                </w14:textFill>
              </w:rPr>
              <w:t>。同一证明文件不重复计分。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5" w:hRule="atLeast"/>
          <w:jc w:val="center"/>
        </w:trPr>
        <w:tc>
          <w:tcPr>
            <w:tcW w:w="1134"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技术部分</w:t>
            </w:r>
          </w:p>
        </w:tc>
        <w:tc>
          <w:tcPr>
            <w:tcW w:w="1701" w:type="dxa"/>
            <w:vAlign w:val="center"/>
          </w:tcPr>
          <w:p>
            <w:pPr>
              <w:spacing w:after="0" w:line="300" w:lineRule="auto"/>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项目团队配置</w:t>
            </w:r>
          </w:p>
        </w:tc>
        <w:tc>
          <w:tcPr>
            <w:tcW w:w="850"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12分</w:t>
            </w:r>
          </w:p>
        </w:tc>
        <w:tc>
          <w:tcPr>
            <w:tcW w:w="5159" w:type="dxa"/>
            <w:vAlign w:val="center"/>
          </w:tcPr>
          <w:p>
            <w:pPr>
              <w:pStyle w:val="41"/>
              <w:spacing w:after="0" w:line="360" w:lineRule="exact"/>
              <w:ind w:left="0" w:leftChars="0" w:firstLine="0" w:firstLineChars="0"/>
              <w:rPr>
                <w:rFonts w:hint="eastAsia" w:hAnsi="仿宋_GB2312" w:cs="仿宋_GB2312"/>
                <w:color w:val="000000" w:themeColor="text1"/>
                <w:sz w:val="21"/>
                <w:szCs w:val="21"/>
                <w14:textFill>
                  <w14:solidFill>
                    <w14:schemeClr w14:val="tx1"/>
                  </w14:solidFill>
                </w14:textFill>
              </w:rPr>
            </w:pPr>
            <w:r>
              <w:rPr>
                <w:rFonts w:hint="eastAsia" w:hAnsi="仿宋_GB2312" w:cs="仿宋_GB2312"/>
                <w:color w:val="000000" w:themeColor="text1"/>
                <w:sz w:val="21"/>
                <w:szCs w:val="21"/>
                <w14:textFill>
                  <w14:solidFill>
                    <w14:schemeClr w14:val="tx1"/>
                  </w14:solidFill>
                </w14:textFill>
              </w:rPr>
              <w:t>项目团队人员（除项目负责人外）具有以下证书：</w:t>
            </w:r>
          </w:p>
          <w:p>
            <w:pPr>
              <w:pStyle w:val="41"/>
              <w:numPr>
                <w:ilvl w:val="0"/>
                <w:numId w:val="2"/>
              </w:numPr>
              <w:spacing w:after="0" w:line="360" w:lineRule="exact"/>
              <w:ind w:left="0" w:leftChars="0" w:firstLine="0" w:firstLineChars="0"/>
              <w:rPr>
                <w:rFonts w:hint="eastAsia" w:hAnsi="仿宋_GB2312" w:cs="仿宋_GB2312"/>
                <w:color w:val="000000" w:themeColor="text1"/>
                <w:sz w:val="21"/>
                <w:szCs w:val="21"/>
                <w14:textFill>
                  <w14:solidFill>
                    <w14:schemeClr w14:val="tx1"/>
                  </w14:solidFill>
                </w14:textFill>
              </w:rPr>
            </w:pPr>
            <w:r>
              <w:rPr>
                <w:rFonts w:hint="eastAsia" w:hAnsi="仿宋_GB2312" w:cs="仿宋_GB2312"/>
                <w:color w:val="000000" w:themeColor="text1"/>
                <w:sz w:val="21"/>
                <w:szCs w:val="21"/>
                <w14:textFill>
                  <w14:solidFill>
                    <w14:schemeClr w14:val="tx1"/>
                  </w14:solidFill>
                </w14:textFill>
              </w:rPr>
              <w:t>项目成员中具有由国家人社部门或国家认可的管理部门批准设立的认证机构颁发并在有效期内的信息安全等级测评师证书或网络安全等级测评师证书；</w:t>
            </w:r>
          </w:p>
          <w:p>
            <w:pPr>
              <w:pStyle w:val="41"/>
              <w:numPr>
                <w:ilvl w:val="0"/>
                <w:numId w:val="2"/>
              </w:numPr>
              <w:spacing w:after="0" w:line="360" w:lineRule="exact"/>
              <w:ind w:left="0" w:leftChars="0" w:firstLine="0" w:firstLineChars="0"/>
              <w:rPr>
                <w:rFonts w:hint="eastAsia" w:hAnsi="仿宋_GB2312" w:cs="仿宋_GB2312"/>
                <w:color w:val="000000" w:themeColor="text1"/>
                <w:sz w:val="21"/>
                <w:szCs w:val="21"/>
                <w14:textFill>
                  <w14:solidFill>
                    <w14:schemeClr w14:val="tx1"/>
                  </w14:solidFill>
                </w14:textFill>
              </w:rPr>
            </w:pPr>
            <w:r>
              <w:rPr>
                <w:rFonts w:hint="eastAsia" w:hAnsi="仿宋_GB2312" w:cs="仿宋_GB2312"/>
                <w:color w:val="000000" w:themeColor="text1"/>
                <w:sz w:val="21"/>
                <w:szCs w:val="21"/>
                <w14:textFill>
                  <w14:solidFill>
                    <w14:schemeClr w14:val="tx1"/>
                  </w14:solidFill>
                </w14:textFill>
              </w:rPr>
              <w:t>项目成员中具有由</w:t>
            </w:r>
            <w:r>
              <w:rPr>
                <w:rFonts w:hint="eastAsia" w:hAnsi="仿宋_GB2312" w:cs="仿宋_GB2312"/>
                <w:color w:val="000000" w:themeColor="text1"/>
                <w:sz w:val="21"/>
                <w:szCs w:val="21"/>
                <w:lang w:val="zh-CN"/>
                <w14:textFill>
                  <w14:solidFill>
                    <w14:schemeClr w14:val="tx1"/>
                  </w14:solidFill>
                </w14:textFill>
              </w:rPr>
              <w:t>国家密码管理部门出具的商用密码应用安全性评估从业人员考核成绩（考核合格）证明；</w:t>
            </w:r>
          </w:p>
          <w:p>
            <w:pPr>
              <w:pStyle w:val="41"/>
              <w:spacing w:after="0" w:line="360" w:lineRule="exact"/>
              <w:ind w:left="0" w:leftChars="0" w:firstLine="0" w:firstLineChars="0"/>
              <w:rPr>
                <w:rFonts w:hint="eastAsia" w:hAnsi="仿宋_GB2312" w:cs="仿宋_GB2312"/>
                <w:color w:val="000000" w:themeColor="text1"/>
                <w:sz w:val="21"/>
                <w:szCs w:val="21"/>
                <w14:textFill>
                  <w14:solidFill>
                    <w14:schemeClr w14:val="tx1"/>
                  </w14:solidFill>
                </w14:textFill>
              </w:rPr>
            </w:pPr>
            <w:r>
              <w:rPr>
                <w:rFonts w:hint="eastAsia" w:hAnsi="仿宋_GB2312" w:cs="仿宋_GB2312"/>
                <w:color w:val="000000" w:themeColor="text1"/>
                <w:sz w:val="21"/>
                <w:szCs w:val="21"/>
                <w14:textFill>
                  <w14:solidFill>
                    <w14:schemeClr w14:val="tx1"/>
                  </w14:solidFill>
                </w14:textFill>
              </w:rPr>
              <w:t>3.项目团队人员具有网络安全国家级权威机构颁发的包括应急响应、渗透测试、信息安全、数据安全、个人信息保护等方面的证书。</w:t>
            </w:r>
          </w:p>
          <w:p>
            <w:pPr>
              <w:pStyle w:val="41"/>
              <w:spacing w:after="0" w:line="360" w:lineRule="exact"/>
              <w:ind w:left="0" w:leftChars="0" w:firstLine="0" w:firstLineChars="0"/>
              <w:rPr>
                <w:rFonts w:hint="eastAsia" w:hAnsi="仿宋_GB2312" w:cs="仿宋_GB2312"/>
                <w:color w:val="000000" w:themeColor="text1"/>
                <w:sz w:val="21"/>
                <w:szCs w:val="21"/>
                <w14:textFill>
                  <w14:solidFill>
                    <w14:schemeClr w14:val="tx1"/>
                  </w14:solidFill>
                </w14:textFill>
              </w:rPr>
            </w:pPr>
            <w:r>
              <w:rPr>
                <w:rFonts w:hint="eastAsia" w:hAnsi="仿宋_GB2312" w:cs="仿宋_GB2312"/>
                <w:color w:val="000000" w:themeColor="text1"/>
                <w:sz w:val="21"/>
                <w:szCs w:val="21"/>
                <w14:textFill>
                  <w14:solidFill>
                    <w14:schemeClr w14:val="tx1"/>
                  </w14:solidFill>
                </w14:textFill>
              </w:rPr>
              <w:t>注：每提供一个得3分，最高得12分，不提供则不得分。投标文件须同时提供人员相关证书复印件及距开标前6个月内（不含开标当月）任意1个月在投标人单位缴纳社保证明复印件，并加盖投标人公章。同一人员具有多个证书的，不重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商务部分</w:t>
            </w:r>
          </w:p>
        </w:tc>
        <w:tc>
          <w:tcPr>
            <w:tcW w:w="1701" w:type="dxa"/>
            <w:vAlign w:val="center"/>
          </w:tcPr>
          <w:p>
            <w:pPr>
              <w:spacing w:after="0" w:line="300" w:lineRule="auto"/>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同类业绩</w:t>
            </w:r>
          </w:p>
        </w:tc>
        <w:tc>
          <w:tcPr>
            <w:tcW w:w="850"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1</w:t>
            </w:r>
            <w:r>
              <w:rPr>
                <w:rFonts w:hint="eastAsia" w:ascii="仿宋_GB2312" w:hAnsi="仿宋_GB2312" w:eastAsia="仿宋_GB2312" w:cs="仿宋_GB2312"/>
                <w:color w:val="000000" w:themeColor="text1"/>
                <w:szCs w:val="21"/>
                <w:lang w:eastAsia="zh-CN"/>
                <w14:textFill>
                  <w14:solidFill>
                    <w14:schemeClr w14:val="tx1"/>
                  </w14:solidFill>
                </w14:textFill>
              </w:rPr>
              <w:t>5</w:t>
            </w:r>
            <w:r>
              <w:rPr>
                <w:rFonts w:hint="eastAsia" w:ascii="仿宋_GB2312" w:hAnsi="仿宋_GB2312" w:eastAsia="仿宋_GB2312" w:cs="仿宋_GB2312"/>
                <w:color w:val="000000" w:themeColor="text1"/>
                <w:szCs w:val="21"/>
                <w14:textFill>
                  <w14:solidFill>
                    <w14:schemeClr w14:val="tx1"/>
                  </w14:solidFill>
                </w14:textFill>
              </w:rPr>
              <w:t>分</w:t>
            </w:r>
          </w:p>
        </w:tc>
        <w:tc>
          <w:tcPr>
            <w:tcW w:w="5159" w:type="dxa"/>
            <w:vAlign w:val="center"/>
          </w:tcPr>
          <w:p>
            <w:pPr>
              <w:spacing w:after="0" w:line="300" w:lineRule="auto"/>
              <w:rPr>
                <w:rFonts w:hint="eastAsia" w:ascii="仿宋_GB2312" w:hAnsi="仿宋_GB2312" w:eastAsia="仿宋_GB2312" w:cs="仿宋_GB2312"/>
                <w:color w:val="000000" w:themeColor="text1"/>
                <w:szCs w:val="21"/>
                <w:lang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自2022年1月1日至响应截止日，服务商承担过类似网络安全服务等项目的，每项3分，最高15分。提供相应合同或验收报告等证明材料。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报价部分</w:t>
            </w:r>
          </w:p>
        </w:tc>
        <w:tc>
          <w:tcPr>
            <w:tcW w:w="1701" w:type="dxa"/>
            <w:vAlign w:val="center"/>
          </w:tcPr>
          <w:p>
            <w:pPr>
              <w:spacing w:after="0" w:line="300" w:lineRule="auto"/>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报价评审</w:t>
            </w:r>
          </w:p>
        </w:tc>
        <w:tc>
          <w:tcPr>
            <w:tcW w:w="850" w:type="dxa"/>
            <w:vAlign w:val="center"/>
          </w:tcPr>
          <w:p>
            <w:pPr>
              <w:spacing w:after="0" w:line="30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25</w:t>
            </w:r>
            <w:r>
              <w:rPr>
                <w:rFonts w:hint="eastAsia" w:ascii="仿宋_GB2312" w:hAnsi="仿宋_GB2312" w:eastAsia="仿宋_GB2312" w:cs="仿宋_GB2312"/>
                <w:color w:val="000000" w:themeColor="text1"/>
                <w:szCs w:val="21"/>
                <w14:textFill>
                  <w14:solidFill>
                    <w14:schemeClr w14:val="tx1"/>
                  </w14:solidFill>
                </w14:textFill>
              </w:rPr>
              <w:t>分</w:t>
            </w:r>
          </w:p>
        </w:tc>
        <w:tc>
          <w:tcPr>
            <w:tcW w:w="5159" w:type="dxa"/>
            <w:vAlign w:val="center"/>
          </w:tcPr>
          <w:p>
            <w:pPr>
              <w:spacing w:after="0" w:line="300" w:lineRule="auto"/>
              <w:rPr>
                <w:rFonts w:hint="eastAsia" w:ascii="仿宋_GB2312" w:hAnsi="仿宋_GB2312" w:eastAsia="仿宋_GB2312" w:cs="仿宋_GB2312"/>
                <w:color w:val="000000" w:themeColor="text1"/>
                <w:szCs w:val="21"/>
                <w:lang w:eastAsia="zh-CN"/>
                <w14:textFill>
                  <w14:solidFill>
                    <w14:schemeClr w14:val="tx1"/>
                  </w14:solidFill>
                </w14:textFill>
              </w:rPr>
            </w:pPr>
            <w:r>
              <w:rPr>
                <w:rFonts w:hint="eastAsia" w:ascii="仿宋_GB2312" w:hAnsi="仿宋_GB2312" w:eastAsia="仿宋_GB2312" w:cs="仿宋_GB2312"/>
                <w:color w:val="000000" w:themeColor="text1"/>
                <w:szCs w:val="21"/>
                <w:lang w:eastAsia="zh-CN"/>
                <w14:textFill>
                  <w14:solidFill>
                    <w14:schemeClr w14:val="tx1"/>
                  </w14:solidFill>
                </w14:textFill>
              </w:rPr>
              <w:t>在满足采购需求且响应报价不超过最高限价的前提下，按价格评审公式计算。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响应报价超过人民币260000.00元最高限价的，按无效响应处理。</w:t>
            </w:r>
          </w:p>
        </w:tc>
      </w:tr>
    </w:tbl>
    <w:p>
      <w:pPr>
        <w:pStyle w:val="2"/>
        <w:ind w:left="640" w:hanging="640"/>
        <w:rPr>
          <w:rFonts w:hint="eastAsia" w:ascii="仿宋_GB2312" w:hAnsi="仿宋" w:eastAsia="仿宋_GB2312" w:cs="仿宋"/>
          <w:color w:val="000000" w:themeColor="text1"/>
          <w:sz w:val="32"/>
          <w:szCs w:val="32"/>
          <w:lang w:eastAsia="zh-CN"/>
          <w14:textFill>
            <w14:solidFill>
              <w14:schemeClr w14:val="tx1"/>
            </w14:solidFill>
          </w14:textFill>
        </w:rPr>
      </w:pPr>
    </w:p>
    <w:p>
      <w:pPr>
        <w:pStyle w:val="2"/>
        <w:ind w:left="640" w:hanging="640"/>
        <w:rPr>
          <w:rFonts w:hint="eastAsia" w:ascii="仿宋_GB2312" w:hAnsi="仿宋" w:eastAsia="仿宋_GB2312" w:cs="仿宋"/>
          <w:color w:val="000000" w:themeColor="text1"/>
          <w:sz w:val="32"/>
          <w:szCs w:val="32"/>
          <w:lang w:eastAsia="zh-CN"/>
          <w14:textFill>
            <w14:solidFill>
              <w14:schemeClr w14:val="tx1"/>
            </w14:solidFill>
          </w14:textFill>
        </w:rPr>
      </w:pPr>
    </w:p>
    <w:p>
      <w:pPr>
        <w:pStyle w:val="2"/>
        <w:ind w:left="640" w:hanging="640"/>
        <w:rPr>
          <w:rFonts w:hint="eastAsia" w:ascii="仿宋_GB2312" w:hAnsi="仿宋" w:eastAsia="仿宋_GB2312" w:cs="仿宋"/>
          <w:color w:val="000000" w:themeColor="text1"/>
          <w:sz w:val="32"/>
          <w:szCs w:val="32"/>
          <w:lang w:eastAsia="zh-CN"/>
          <w14:textFill>
            <w14:solidFill>
              <w14:schemeClr w14:val="tx1"/>
            </w14:solidFill>
          </w14:textFill>
        </w:rPr>
      </w:pPr>
    </w:p>
    <w:p>
      <w:pPr>
        <w:pStyle w:val="2"/>
        <w:ind w:left="640" w:hanging="640"/>
        <w:rPr>
          <w:rFonts w:hint="eastAsia" w:ascii="仿宋_GB2312" w:hAnsi="仿宋" w:eastAsia="仿宋_GB2312" w:cs="仿宋"/>
          <w:color w:val="000000" w:themeColor="text1"/>
          <w:sz w:val="32"/>
          <w:szCs w:val="32"/>
          <w:lang w:eastAsia="zh-CN"/>
          <w14:textFill>
            <w14:solidFill>
              <w14:schemeClr w14:val="tx1"/>
            </w14:solidFill>
          </w14:textFill>
        </w:rPr>
      </w:pPr>
    </w:p>
    <w:p>
      <w:pPr>
        <w:pStyle w:val="2"/>
        <w:ind w:left="640" w:hanging="640"/>
        <w:rPr>
          <w:rFonts w:hint="eastAsia" w:ascii="仿宋_GB2312" w:hAnsi="仿宋" w:eastAsia="仿宋_GB2312" w:cs="仿宋"/>
          <w:color w:val="000000" w:themeColor="text1"/>
          <w:sz w:val="32"/>
          <w:szCs w:val="32"/>
          <w:lang w:eastAsia="zh-CN"/>
          <w14:textFill>
            <w14:solidFill>
              <w14:schemeClr w14:val="tx1"/>
            </w14:solidFill>
          </w14:textFill>
        </w:rPr>
      </w:pPr>
    </w:p>
    <w:p>
      <w:pPr>
        <w:pStyle w:val="2"/>
        <w:ind w:left="640" w:hanging="640"/>
        <w:rPr>
          <w:rFonts w:hint="eastAsia" w:ascii="仿宋_GB2312" w:hAnsi="仿宋" w:eastAsia="仿宋_GB2312" w:cs="仿宋"/>
          <w:color w:val="000000" w:themeColor="text1"/>
          <w:sz w:val="32"/>
          <w:szCs w:val="32"/>
          <w:lang w:eastAsia="zh-CN"/>
          <w14:textFill>
            <w14:solidFill>
              <w14:schemeClr w14:val="tx1"/>
            </w14:solidFill>
          </w14:textFill>
        </w:rPr>
      </w:pPr>
    </w:p>
    <w:p>
      <w:pPr>
        <w:spacing w:after="80" w:line="360" w:lineRule="auto"/>
        <w:rPr>
          <w:rFonts w:hint="eastAsia"/>
          <w:color w:val="000000" w:themeColor="text1"/>
          <w:lang w:eastAsia="zh-CN"/>
          <w14:textFill>
            <w14:solidFill>
              <w14:schemeClr w14:val="tx1"/>
            </w14:solidFill>
          </w14:textFill>
        </w:rPr>
      </w:pPr>
    </w:p>
    <w:p>
      <w:pPr>
        <w:spacing w:after="160" w:line="278" w:lineRule="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br w:type="page"/>
      </w:r>
    </w:p>
    <w:p>
      <w:pPr>
        <w:spacing w:line="240" w:lineRule="auto"/>
        <w:rPr>
          <w:rFonts w:hint="eastAsia" w:ascii="黑体" w:hAnsi="黑体" w:eastAsia="黑体" w:cs="CESI黑体-GB2312"/>
          <w:color w:val="000000" w:themeColor="text1"/>
          <w:sz w:val="32"/>
          <w:szCs w:val="32"/>
          <w14:textFill>
            <w14:solidFill>
              <w14:schemeClr w14:val="tx1"/>
            </w14:solidFill>
          </w14:textFill>
        </w:rPr>
      </w:pPr>
      <w:r>
        <w:rPr>
          <w:rFonts w:hint="eastAsia" w:ascii="黑体" w:hAnsi="黑体" w:eastAsia="黑体" w:cs="CESI黑体-GB2312"/>
          <w:color w:val="000000" w:themeColor="text1"/>
          <w:sz w:val="32"/>
          <w:szCs w:val="32"/>
          <w14:textFill>
            <w14:solidFill>
              <w14:schemeClr w14:val="tx1"/>
            </w14:solidFill>
          </w14:textFill>
        </w:rPr>
        <w:t>附件1</w:t>
      </w:r>
    </w:p>
    <w:p>
      <w:pPr>
        <w:pStyle w:val="3"/>
        <w:spacing w:before="280" w:after="120"/>
        <w:jc w:val="center"/>
        <w:rPr>
          <w:rFonts w:hint="eastAsia" w:ascii="国标小标宋" w:hAnsi="国标小标宋" w:eastAsia="国标小标宋" w:cs="国标小标宋"/>
          <w:b/>
          <w:bCs/>
          <w:color w:val="000000" w:themeColor="text1"/>
          <w:sz w:val="44"/>
          <w:szCs w:val="44"/>
          <w14:textFill>
            <w14:solidFill>
              <w14:schemeClr w14:val="tx1"/>
            </w14:solidFill>
          </w14:textFill>
        </w:rPr>
      </w:pPr>
      <w:r>
        <w:rPr>
          <w:rFonts w:hint="eastAsia" w:ascii="国标小标宋" w:hAnsi="国标小标宋" w:eastAsia="国标小标宋" w:cs="国标小标宋"/>
          <w:color w:val="000000" w:themeColor="text1"/>
          <w:sz w:val="44"/>
          <w:szCs w:val="44"/>
          <w14:textFill>
            <w14:solidFill>
              <w14:schemeClr w14:val="tx1"/>
            </w14:solidFill>
          </w14:textFill>
        </w:rPr>
        <w:t>报价表</w:t>
      </w:r>
    </w:p>
    <w:tbl>
      <w:tblPr>
        <w:tblStyle w:val="18"/>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4"/>
        <w:gridCol w:w="6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494" w:type="dxa"/>
            <w:vAlign w:val="center"/>
          </w:tcPr>
          <w:p>
            <w:pPr>
              <w:spacing w:after="0" w:line="300" w:lineRule="auto"/>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项目名称</w:t>
            </w:r>
          </w:p>
        </w:tc>
        <w:tc>
          <w:tcPr>
            <w:tcW w:w="6350" w:type="dxa"/>
            <w:vAlign w:val="center"/>
          </w:tcPr>
          <w:p>
            <w:pPr>
              <w:spacing w:after="0" w:line="300" w:lineRule="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东莞市交通运输局网络安全等级保护测评和商用密码应用安全性评测服务项目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494" w:type="dxa"/>
            <w:vAlign w:val="center"/>
          </w:tcPr>
          <w:p>
            <w:pPr>
              <w:spacing w:after="0" w:line="300" w:lineRule="auto"/>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服务商名称</w:t>
            </w:r>
          </w:p>
        </w:tc>
        <w:tc>
          <w:tcPr>
            <w:tcW w:w="6350" w:type="dxa"/>
            <w:vAlign w:val="center"/>
          </w:tcPr>
          <w:p>
            <w:pPr>
              <w:spacing w:after="0" w:line="300" w:lineRule="auto"/>
              <w:rPr>
                <w:rFonts w:hint="eastAsia" w:ascii="仿宋_GB2312" w:hAnsi="仿宋_GB2312" w:eastAsia="仿宋_GB2312" w:cs="仿宋_GB2312"/>
                <w:color w:val="000000" w:themeColor="text1"/>
                <w:sz w:val="32"/>
                <w:szCs w:val="3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6" w:hRule="atLeast"/>
          <w:jc w:val="center"/>
        </w:trPr>
        <w:tc>
          <w:tcPr>
            <w:tcW w:w="2494" w:type="dxa"/>
            <w:vAlign w:val="center"/>
          </w:tcPr>
          <w:p>
            <w:pPr>
              <w:spacing w:after="0" w:line="300" w:lineRule="auto"/>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服务总报价（含税）</w:t>
            </w:r>
          </w:p>
        </w:tc>
        <w:tc>
          <w:tcPr>
            <w:tcW w:w="6350" w:type="dxa"/>
            <w:vAlign w:val="center"/>
          </w:tcPr>
          <w:p>
            <w:pPr>
              <w:spacing w:after="0" w:line="300" w:lineRule="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小写：￥__________ 元；</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大写：____________________________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94" w:type="dxa"/>
            <w:vAlign w:val="center"/>
          </w:tcPr>
          <w:p>
            <w:pPr>
              <w:spacing w:after="0" w:line="300" w:lineRule="auto"/>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服务周期</w:t>
            </w:r>
          </w:p>
        </w:tc>
        <w:tc>
          <w:tcPr>
            <w:tcW w:w="6350" w:type="dxa"/>
            <w:vAlign w:val="center"/>
          </w:tcPr>
          <w:p>
            <w:pPr>
              <w:spacing w:after="0" w:line="300" w:lineRule="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一年，自合同签订之日起计算</w:t>
            </w:r>
          </w:p>
        </w:tc>
      </w:tr>
    </w:tbl>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说明：</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1.本次采购采用填报项目总价的方式进行报价，填报时保留小数点后两位；</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2.本报价表是项目需求书确定服务范围内全部服务内容的价格体现，报价应包含项目投入的各项费用及合同实施过程中不可预见费用等；</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3.不提供此表格将被视为没有实质性响应，其响应文件将被拒绝。</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服务商全称（盖章）：</w:t>
      </w:r>
    </w:p>
    <w:p>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服务商代表（签字）：</w:t>
      </w:r>
    </w:p>
    <w:p>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 xml:space="preserve">             日 期：</w:t>
      </w:r>
    </w:p>
    <w:p>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pStyle w:val="15"/>
        <w:rPr>
          <w:rFonts w:hint="eastAsia"/>
          <w:color w:val="000000" w:themeColor="text1"/>
          <w:lang w:eastAsia="zh-CN"/>
          <w14:textFill>
            <w14:solidFill>
              <w14:schemeClr w14:val="tx1"/>
            </w14:solidFill>
          </w14:textFill>
        </w:rPr>
      </w:pPr>
    </w:p>
    <w:p>
      <w:pPr>
        <w:spacing w:line="240" w:lineRule="auto"/>
        <w:rPr>
          <w:rFonts w:hint="eastAsia" w:ascii="黑体" w:hAnsi="黑体" w:eastAsia="黑体" w:cs="CESI黑体-GB2312"/>
          <w:color w:val="000000" w:themeColor="text1"/>
          <w:sz w:val="32"/>
          <w:szCs w:val="32"/>
          <w:lang w:eastAsia="zh-CN"/>
          <w14:textFill>
            <w14:solidFill>
              <w14:schemeClr w14:val="tx1"/>
            </w14:solidFill>
          </w14:textFill>
        </w:rPr>
      </w:pPr>
      <w:r>
        <w:rPr>
          <w:rFonts w:hint="eastAsia" w:ascii="黑体" w:hAnsi="黑体" w:eastAsia="黑体" w:cs="CESI黑体-GB2312"/>
          <w:color w:val="000000" w:themeColor="text1"/>
          <w:sz w:val="32"/>
          <w:szCs w:val="32"/>
          <w:lang w:eastAsia="zh-CN"/>
          <w14:textFill>
            <w14:solidFill>
              <w14:schemeClr w14:val="tx1"/>
            </w14:solidFill>
          </w14:textFill>
        </w:rPr>
        <w:t>附件2</w:t>
      </w:r>
    </w:p>
    <w:p>
      <w:pPr>
        <w:pStyle w:val="3"/>
        <w:spacing w:before="280" w:after="120"/>
        <w:jc w:val="center"/>
        <w:rPr>
          <w:rFonts w:hint="eastAsia" w:ascii="国标小标宋" w:hAnsi="国标小标宋" w:eastAsia="国标小标宋" w:cs="国标小标宋"/>
          <w:b/>
          <w:bCs/>
          <w:color w:val="000000" w:themeColor="text1"/>
          <w:sz w:val="44"/>
          <w:szCs w:val="44"/>
          <w:lang w:eastAsia="zh-CN"/>
          <w14:textFill>
            <w14:solidFill>
              <w14:schemeClr w14:val="tx1"/>
            </w14:solidFill>
          </w14:textFill>
        </w:rPr>
      </w:pPr>
      <w:r>
        <w:rPr>
          <w:rFonts w:hint="eastAsia" w:ascii="国标小标宋" w:hAnsi="国标小标宋" w:eastAsia="国标小标宋" w:cs="国标小标宋"/>
          <w:color w:val="000000" w:themeColor="text1"/>
          <w:sz w:val="44"/>
          <w:szCs w:val="44"/>
          <w:lang w:eastAsia="zh-CN"/>
          <w14:textFill>
            <w14:solidFill>
              <w14:schemeClr w14:val="tx1"/>
            </w14:solidFill>
          </w14:textFill>
        </w:rPr>
        <w:t>资格条件承诺函</w:t>
      </w:r>
    </w:p>
    <w:p>
      <w:pPr>
        <w:spacing w:line="240" w:lineRule="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东莞市交通运输局：</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我方参加</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东莞市交通运输局网络安全等级保护测评和商用密码应用安全性评测服务项目</w:t>
      </w:r>
      <w:r>
        <w:rPr>
          <w:rFonts w:hint="eastAsia" w:ascii="仿宋_GB2312" w:hAnsi="仿宋_GB2312" w:eastAsia="仿宋_GB2312" w:cs="仿宋_GB2312"/>
          <w:color w:val="000000" w:themeColor="text1"/>
          <w:sz w:val="32"/>
          <w:szCs w:val="32"/>
          <w:lang w:eastAsia="zh-CN"/>
          <w14:textFill>
            <w14:solidFill>
              <w14:schemeClr w14:val="tx1"/>
            </w14:solidFill>
          </w14:textFill>
        </w:rPr>
        <w:t>采购，现郑重承诺，参加本次政府采购活动前三年内：</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我方符合《中华人民共和国政府采购法》第22条规定的资格条件，即：（1）我方具有独立承担民事责任的能力；（2）我方具有良好的商业信誉和健全的财务会计制度；（3）我方具有履行合同所必需的设备和专业技术能力；（4）我方有依法缴纳税收和社会保障资金的良好记录；（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pPr>
        <w:spacing w:line="240" w:lineRule="auto"/>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2.到本项目采购截止时间为止，我方未被“信用中国”（www.creditchina.gov.cn）、中国政府采购网（www.ccgp.gov.cn）列入失信被执行人名单、重大税收违法案件当事人名单、政府采购严重违法失信行为记录名单。</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3.我方与参加本次项目同一合同项下政府采购活动的其他服务商不存在单位负责人为同一人或者直接控股、管理关系。</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4.我方不属于公益一类事业单位。</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以上承诺如有虚假，愿接受取消我方任何资格（投标/成交/签订合同）及其他任何形式的处理。</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服务商全称（盖章）：</w:t>
      </w:r>
    </w:p>
    <w:p>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法定代表人或其授权代表（签字或盖章）：</w:t>
      </w:r>
    </w:p>
    <w:p>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日期：     年   月   日</w:t>
      </w:r>
    </w:p>
    <w:p>
      <w:pPr>
        <w:spacing w:line="240" w:lineRule="auto"/>
        <w:rPr>
          <w:rFonts w:hint="eastAsia" w:ascii="黑体" w:hAnsi="黑体" w:eastAsia="黑体" w:cs="CESI黑体-GB2312"/>
          <w:color w:val="000000" w:themeColor="text1"/>
          <w:sz w:val="32"/>
          <w:szCs w:val="32"/>
          <w:lang w:eastAsia="zh-CN"/>
          <w14:textFill>
            <w14:solidFill>
              <w14:schemeClr w14:val="tx1"/>
            </w14:solidFill>
          </w14:textFill>
        </w:rPr>
      </w:pPr>
      <w:r>
        <w:rPr>
          <w:rFonts w:hint="eastAsia" w:ascii="黑体" w:hAnsi="黑体" w:eastAsia="黑体" w:cs="CESI黑体-GB2312"/>
          <w:color w:val="000000" w:themeColor="text1"/>
          <w:sz w:val="32"/>
          <w:szCs w:val="32"/>
          <w:lang w:eastAsia="zh-CN"/>
          <w14:textFill>
            <w14:solidFill>
              <w14:schemeClr w14:val="tx1"/>
            </w14:solidFill>
          </w14:textFill>
        </w:rPr>
        <w:t>附件3</w:t>
      </w:r>
    </w:p>
    <w:p>
      <w:pPr>
        <w:pStyle w:val="3"/>
        <w:spacing w:before="280" w:after="120"/>
        <w:jc w:val="center"/>
        <w:rPr>
          <w:rFonts w:hint="eastAsia" w:ascii="国标小标宋" w:hAnsi="国标小标宋" w:eastAsia="国标小标宋" w:cs="国标小标宋"/>
          <w:b/>
          <w:bCs/>
          <w:color w:val="000000" w:themeColor="text1"/>
          <w:sz w:val="44"/>
          <w:szCs w:val="44"/>
          <w:lang w:eastAsia="zh-CN"/>
          <w14:textFill>
            <w14:solidFill>
              <w14:schemeClr w14:val="tx1"/>
            </w14:solidFill>
          </w14:textFill>
        </w:rPr>
      </w:pPr>
      <w:r>
        <w:rPr>
          <w:rFonts w:hint="eastAsia" w:ascii="国标小标宋" w:hAnsi="国标小标宋" w:eastAsia="国标小标宋" w:cs="国标小标宋"/>
          <w:color w:val="000000" w:themeColor="text1"/>
          <w:sz w:val="44"/>
          <w:szCs w:val="44"/>
          <w:lang w:eastAsia="zh-CN"/>
          <w14:textFill>
            <w14:solidFill>
              <w14:schemeClr w14:val="tx1"/>
            </w14:solidFill>
          </w14:textFill>
        </w:rPr>
        <w:t>法定代表人授权书</w:t>
      </w:r>
    </w:p>
    <w:p>
      <w:pPr>
        <w:spacing w:line="240" w:lineRule="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东莞市交通运输局：</w:t>
      </w:r>
    </w:p>
    <w:p>
      <w:pPr>
        <w:spacing w:line="240" w:lineRule="auto"/>
        <w:ind w:firstLine="4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color w:val="000000" w:themeColor="text1"/>
          <w:sz w:val="22"/>
          <w:u w:val="single"/>
          <w:lang w:eastAsia="zh-CN"/>
          <w14:textFill>
            <w14:solidFill>
              <w14:schemeClr w14:val="tx1"/>
            </w14:solidFill>
          </w14:textFill>
        </w:rPr>
        <w:t xml:space="preserve">             </w:t>
      </w:r>
      <w:r>
        <w:rPr>
          <w:rFonts w:hint="eastAsia"/>
          <w:color w:val="000000" w:themeColor="text1"/>
          <w:sz w:val="22"/>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（服务商全称）法定代表人</w:t>
      </w:r>
      <w:r>
        <w:rPr>
          <w:color w:val="000000" w:themeColor="text1"/>
          <w:sz w:val="22"/>
          <w:u w:val="single"/>
          <w:lang w:eastAsia="zh-CN"/>
          <w14:textFill>
            <w14:solidFill>
              <w14:schemeClr w14:val="tx1"/>
            </w14:solidFill>
          </w14:textFill>
        </w:rPr>
        <w:t xml:space="preserve">          </w:t>
      </w:r>
      <w:r>
        <w:rPr>
          <w:rFonts w:hint="eastAsia"/>
          <w:color w:val="000000" w:themeColor="text1"/>
          <w:sz w:val="22"/>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授权</w:t>
      </w:r>
      <w:r>
        <w:rPr>
          <w:color w:val="000000" w:themeColor="text1"/>
          <w:sz w:val="22"/>
          <w:u w:val="single"/>
          <w:lang w:eastAsia="zh-CN"/>
          <w14:textFill>
            <w14:solidFill>
              <w14:schemeClr w14:val="tx1"/>
            </w14:solidFill>
          </w14:textFill>
        </w:rPr>
        <w:t xml:space="preserve">         </w:t>
      </w:r>
      <w:r>
        <w:rPr>
          <w:rFonts w:hint="eastAsia"/>
          <w:color w:val="000000" w:themeColor="text1"/>
          <w:sz w:val="22"/>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（全权代表姓名）为全权代表，参加贵局组织的</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东莞市交通运输局网络安全等级保护测评和商用密码应用安全性评测服务项目</w:t>
      </w:r>
      <w:r>
        <w:rPr>
          <w:rFonts w:hint="eastAsia" w:ascii="仿宋_GB2312" w:hAnsi="仿宋_GB2312" w:eastAsia="仿宋_GB2312" w:cs="仿宋_GB2312"/>
          <w:color w:val="000000" w:themeColor="text1"/>
          <w:sz w:val="32"/>
          <w:szCs w:val="32"/>
          <w:lang w:eastAsia="zh-CN"/>
          <w14:textFill>
            <w14:solidFill>
              <w14:schemeClr w14:val="tx1"/>
            </w14:solidFill>
          </w14:textFill>
        </w:rPr>
        <w:t>采购活动，全权代表我方处理采购活动中的一切事宜。</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法定代表人（签字或盖章）：</w:t>
      </w:r>
    </w:p>
    <w:p>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服务商全称（公章）：</w:t>
      </w:r>
    </w:p>
    <w:p>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日 期：</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附：</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授权代表姓名：</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职务：</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详细通讯地址：</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电话：</w:t>
      </w:r>
    </w:p>
    <w:p>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传真：</w:t>
      </w:r>
    </w:p>
    <w:p>
      <w:pPr>
        <w:spacing w:line="240" w:lineRule="auto"/>
        <w:ind w:firstLine="640" w:firstLineChars="200"/>
        <w:rPr>
          <w:rFonts w:hint="eastAsia"/>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邮政编码：</w:t>
      </w:r>
      <w:r>
        <w:rPr>
          <w:color w:val="000000" w:themeColor="text1"/>
          <w:sz w:val="22"/>
          <w:u w:val="single"/>
          <w14:textFill>
            <w14:solidFill>
              <w14:schemeClr w14:val="tx1"/>
            </w14:solidFill>
          </w14:textFill>
        </w:rPr>
        <w:t xml:space="preserve">         </w:t>
      </w:r>
      <w:r>
        <w:rPr>
          <w:rFonts w:hint="eastAsia"/>
          <w:color w:val="000000" w:themeColor="text1"/>
          <w:sz w:val="22"/>
          <w:u w:val="single"/>
          <w:lang w:eastAsia="zh-CN"/>
          <w14:textFill>
            <w14:solidFill>
              <w14:schemeClr w14:val="tx1"/>
            </w14:solidFill>
          </w14:textFill>
        </w:rPr>
        <w:t xml:space="preserve">       </w:t>
      </w:r>
      <w:r>
        <w:rPr>
          <w:color w:val="000000" w:themeColor="text1"/>
          <w:sz w:val="22"/>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56515</wp:posOffset>
                </wp:positionH>
                <wp:positionV relativeFrom="paragraph">
                  <wp:posOffset>499110</wp:posOffset>
                </wp:positionV>
                <wp:extent cx="5800090" cy="2431415"/>
                <wp:effectExtent l="5080" t="4445" r="5080" b="21590"/>
                <wp:wrapNone/>
                <wp:docPr id="1029" name="矩形 1029"/>
                <wp:cNvGraphicFramePr/>
                <a:graphic xmlns:a="http://schemas.openxmlformats.org/drawingml/2006/main">
                  <a:graphicData uri="http://schemas.microsoft.com/office/word/2010/wordprocessingShape">
                    <wps:wsp>
                      <wps:cNvSpPr/>
                      <wps:spPr>
                        <a:xfrm>
                          <a:off x="0" y="0"/>
                          <a:ext cx="5800090" cy="24314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rFonts w:hint="eastAsia"/>
                                <w:lang w:eastAsia="zh-CN"/>
                              </w:rPr>
                            </w:pPr>
                            <w:r>
                              <w:rPr>
                                <w:rFonts w:hint="eastAsia" w:ascii="新宋体" w:hAnsi="新宋体" w:eastAsia="新宋体"/>
                                <w:sz w:val="22"/>
                                <w:lang w:eastAsia="zh-CN"/>
                              </w:rPr>
                              <w:t>授权代表身份证（正反面）：</w:t>
                            </w:r>
                          </w:p>
                        </w:txbxContent>
                      </wps:txbx>
                      <wps:bodyPr upright="true"/>
                    </wps:wsp>
                  </a:graphicData>
                </a:graphic>
              </wp:anchor>
            </w:drawing>
          </mc:Choice>
          <mc:Fallback>
            <w:pict>
              <v:rect id="_x0000_s1026" o:spid="_x0000_s1026" o:spt="1" style="position:absolute;left:0pt;margin-left:4.45pt;margin-top:39.3pt;height:191.45pt;width:456.7pt;z-index:251659264;mso-width-relative:page;mso-height-relative:page;" fillcolor="#FFFFFF" filled="t" stroked="t" coordsize="21600,21600" o:gfxdata="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DfaB8G1wAAAAgBAAAPAAAAAAAAAAEAIAAAADgAAABk&#10;cnMvZG93bnJldi54bWxQSwECFAAUAAAACACHTuJAPfpGzPEBAADzAwAADgAAAAAAAAABACAAAAA8&#10;AQAAZHJzL2Uyb0RvYy54bWxQSwUGAAAAAAYABgBZAQAAnwUAAAAA&#10;">
                <v:fill on="t" focussize="0,0"/>
                <v:stroke color="#000000" joinstyle="miter"/>
                <v:imagedata o:title=""/>
                <o:lock v:ext="edit" aspectratio="f"/>
                <v:textbox>
                  <w:txbxContent>
                    <w:p>
                      <w:pPr>
                        <w:rPr>
                          <w:rFonts w:hint="eastAsia"/>
                          <w:lang w:eastAsia="zh-CN"/>
                        </w:rPr>
                      </w:pPr>
                      <w:r>
                        <w:rPr>
                          <w:rFonts w:hint="eastAsia" w:ascii="新宋体" w:hAnsi="新宋体" w:eastAsia="新宋体"/>
                          <w:sz w:val="22"/>
                          <w:lang w:eastAsia="zh-CN"/>
                        </w:rPr>
                        <w:t>授权代表身份证（正反面）：</w:t>
                      </w:r>
                    </w:p>
                  </w:txbxContent>
                </v:textbox>
              </v:rect>
            </w:pict>
          </mc:Fallback>
        </mc:AlternateContent>
      </w:r>
    </w:p>
    <w:p>
      <w:pPr>
        <w:pStyle w:val="2"/>
        <w:ind w:left="640" w:hanging="640"/>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color w:val="000000" w:themeColor="text1"/>
          <w14:textFill>
            <w14:solidFill>
              <w14:schemeClr w14:val="tx1"/>
            </w14:solidFill>
          </w14:textFill>
        </w:rPr>
      </w:pPr>
    </w:p>
    <w:sectPr>
      <w:footerReference r:id="rId5" w:type="default"/>
      <w:pgSz w:w="11906" w:h="16838"/>
      <w:pgMar w:top="1440" w:right="1440" w:bottom="1440" w:left="1440"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圆B5"/>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PingFang SC">
    <w:altName w:val="汉仪新人文宋简"/>
    <w:panose1 w:val="00000000000000000000"/>
    <w:charset w:val="86"/>
    <w:family w:val="auto"/>
    <w:pitch w:val="default"/>
    <w:sig w:usb0="00000000" w:usb1="00000000" w:usb2="00000017" w:usb3="00000000" w:csb0="00040001" w:csb1="00000000"/>
  </w:font>
  <w:font w:name="等线 Light">
    <w:altName w:val="汉仪中圆B5"/>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国标小标宋">
    <w:panose1 w:val="02000500000000000000"/>
    <w:charset w:val="86"/>
    <w:family w:val="auto"/>
    <w:pitch w:val="default"/>
    <w:sig w:usb0="00000001" w:usb1="08000000" w:usb2="00000000" w:usb3="00000000" w:csb0="00060007" w:csb1="00000000"/>
  </w:font>
  <w:font w:name="国标黑体">
    <w:panose1 w:val="020005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CESI黑体-GB2312">
    <w:panose1 w:val="02000500000000000000"/>
    <w:charset w:val="86"/>
    <w:family w:val="auto"/>
    <w:pitch w:val="default"/>
    <w:sig w:usb0="800002BF" w:usb1="184F6CF8" w:usb2="00000012" w:usb3="00000000" w:csb0="0004000F" w:csb1="00000000"/>
  </w:font>
  <w:font w:name="新宋体">
    <w:altName w:val="方正书宋_GBK"/>
    <w:panose1 w:val="02010609030101010101"/>
    <w:charset w:val="86"/>
    <w:family w:val="modern"/>
    <w:pitch w:val="default"/>
    <w:sig w:usb0="00000000" w:usb1="00000000" w:usb2="00000016" w:usb3="00000000" w:csb0="00040001" w:csb1="00000000"/>
  </w:font>
  <w:font w:name="URW Bookman">
    <w:altName w:val="Times New Roman"/>
    <w:panose1 w:val="00000400000000000000"/>
    <w:charset w:val="00"/>
    <w:family w:val="auto"/>
    <w:pitch w:val="default"/>
    <w:sig w:usb0="00000000" w:usb1="00000000" w:usb2="00000000" w:usb3="00000000" w:csb0="0000000D" w:csb1="00000000"/>
  </w:font>
  <w:font w:name="DejaVu Sans">
    <w:panose1 w:val="020B0603030804020204"/>
    <w:charset w:val="00"/>
    <w:family w:val="auto"/>
    <w:pitch w:val="default"/>
    <w:sig w:usb0="E7006EFF" w:usb1="D200FDFF" w:usb2="0A246029" w:usb3="0400200C" w:csb0="600001FF" w:csb1="DFFF0000"/>
  </w:font>
  <w:font w:name="汉仪新人文宋简">
    <w:panose1 w:val="00020600040101010101"/>
    <w:charset w:val="86"/>
    <w:family w:val="auto"/>
    <w:pitch w:val="default"/>
    <w:sig w:usb0="A00002BF" w:usb1="1ACF7CFA" w:usb2="00000016" w:usb3="00000000" w:csb0="0004009F" w:csb1="DFD7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等线 Light">
    <w:altName w:val="URW Book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12"/>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B8897F"/>
    <w:multiLevelType w:val="singleLevel"/>
    <w:tmpl w:val="B7B8897F"/>
    <w:lvl w:ilvl="0" w:tentative="0">
      <w:start w:val="1"/>
      <w:numFmt w:val="decimal"/>
      <w:lvlText w:val="%1."/>
      <w:lvlJc w:val="left"/>
      <w:pPr>
        <w:tabs>
          <w:tab w:val="left" w:pos="312"/>
        </w:tabs>
      </w:pPr>
    </w:lvl>
  </w:abstractNum>
  <w:abstractNum w:abstractNumId="1">
    <w:nsid w:val="6AF92C36"/>
    <w:multiLevelType w:val="singleLevel"/>
    <w:tmpl w:val="6AF92C3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23F"/>
    <w:rsid w:val="00026B76"/>
    <w:rsid w:val="00051B5F"/>
    <w:rsid w:val="00080D30"/>
    <w:rsid w:val="000C2F7B"/>
    <w:rsid w:val="000D6890"/>
    <w:rsid w:val="000E6E54"/>
    <w:rsid w:val="00103E6D"/>
    <w:rsid w:val="001727AE"/>
    <w:rsid w:val="001904BE"/>
    <w:rsid w:val="001D3F3F"/>
    <w:rsid w:val="001F4BA6"/>
    <w:rsid w:val="002974C3"/>
    <w:rsid w:val="002D3EA7"/>
    <w:rsid w:val="002D55E3"/>
    <w:rsid w:val="00300341"/>
    <w:rsid w:val="0030123F"/>
    <w:rsid w:val="003019E3"/>
    <w:rsid w:val="00315F01"/>
    <w:rsid w:val="0041410E"/>
    <w:rsid w:val="00462DAC"/>
    <w:rsid w:val="00465E2D"/>
    <w:rsid w:val="00484D56"/>
    <w:rsid w:val="00596D62"/>
    <w:rsid w:val="005B101F"/>
    <w:rsid w:val="005C3FEC"/>
    <w:rsid w:val="005E07F0"/>
    <w:rsid w:val="00621595"/>
    <w:rsid w:val="00694320"/>
    <w:rsid w:val="00695F19"/>
    <w:rsid w:val="006C2D79"/>
    <w:rsid w:val="00704E36"/>
    <w:rsid w:val="00710E6E"/>
    <w:rsid w:val="00767477"/>
    <w:rsid w:val="0078424B"/>
    <w:rsid w:val="007946AB"/>
    <w:rsid w:val="007F34D7"/>
    <w:rsid w:val="007F7BEB"/>
    <w:rsid w:val="00802BDC"/>
    <w:rsid w:val="008102D2"/>
    <w:rsid w:val="00836481"/>
    <w:rsid w:val="008C7E50"/>
    <w:rsid w:val="008F1F5F"/>
    <w:rsid w:val="009106A6"/>
    <w:rsid w:val="009356DE"/>
    <w:rsid w:val="009B727E"/>
    <w:rsid w:val="009D55DC"/>
    <w:rsid w:val="00A14DDB"/>
    <w:rsid w:val="00A43455"/>
    <w:rsid w:val="00A46438"/>
    <w:rsid w:val="00A52C3D"/>
    <w:rsid w:val="00AA5101"/>
    <w:rsid w:val="00AC3A04"/>
    <w:rsid w:val="00AD7146"/>
    <w:rsid w:val="00B17307"/>
    <w:rsid w:val="00B92768"/>
    <w:rsid w:val="00BE53A1"/>
    <w:rsid w:val="00BF5A6C"/>
    <w:rsid w:val="00C72B3F"/>
    <w:rsid w:val="00CB7673"/>
    <w:rsid w:val="00CE59AA"/>
    <w:rsid w:val="00D12851"/>
    <w:rsid w:val="00D17EA9"/>
    <w:rsid w:val="00D363C4"/>
    <w:rsid w:val="00D650DF"/>
    <w:rsid w:val="00DE6BED"/>
    <w:rsid w:val="00EE57A5"/>
    <w:rsid w:val="00F03BEE"/>
    <w:rsid w:val="00F13A90"/>
    <w:rsid w:val="00F15370"/>
    <w:rsid w:val="00FC3F7D"/>
    <w:rsid w:val="00FC41EC"/>
    <w:rsid w:val="27FFC1D1"/>
    <w:rsid w:val="2FE96BB8"/>
    <w:rsid w:val="3BFF8412"/>
    <w:rsid w:val="3EEED17F"/>
    <w:rsid w:val="42F99344"/>
    <w:rsid w:val="5BBBC5FB"/>
    <w:rsid w:val="6BBFF5BC"/>
    <w:rsid w:val="6E56E5B4"/>
    <w:rsid w:val="BD7EB8E6"/>
    <w:rsid w:val="BFBE73ED"/>
    <w:rsid w:val="BFFD3452"/>
    <w:rsid w:val="E37EEC17"/>
    <w:rsid w:val="E3FF17C7"/>
    <w:rsid w:val="E7F3E05F"/>
    <w:rsid w:val="F7F53533"/>
    <w:rsid w:val="F7FF77F8"/>
    <w:rsid w:val="FA7ACDA0"/>
    <w:rsid w:val="FBF3C016"/>
    <w:rsid w:val="FEF74531"/>
    <w:rsid w:val="FF9F6F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20" w:line="276" w:lineRule="auto"/>
    </w:pPr>
    <w:rPr>
      <w:rFonts w:ascii="PingFang SC" w:hAnsi="PingFang SC" w:eastAsia="PingFang SC" w:cstheme="minorBidi"/>
      <w:color w:val="1F1F1F"/>
      <w:sz w:val="21"/>
      <w:szCs w:val="22"/>
      <w:lang w:val="en-US" w:eastAsia="en-US" w:bidi="ar-SA"/>
    </w:rPr>
  </w:style>
  <w:style w:type="paragraph" w:styleId="3">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4">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5">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23"/>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24"/>
    <w:semiHidden/>
    <w:unhideWhenUsed/>
    <w:qFormat/>
    <w:uiPriority w:val="9"/>
    <w:pPr>
      <w:keepNext/>
      <w:keepLines/>
      <w:spacing w:before="80" w:after="40"/>
      <w:outlineLvl w:val="4"/>
    </w:pPr>
    <w:rPr>
      <w:rFonts w:cstheme="majorBidi"/>
      <w:color w:val="2F5597" w:themeColor="accent1" w:themeShade="BF"/>
      <w:sz w:val="24"/>
    </w:rPr>
  </w:style>
  <w:style w:type="paragraph" w:styleId="8">
    <w:name w:val="heading 6"/>
    <w:basedOn w:val="1"/>
    <w:next w:val="1"/>
    <w:link w:val="25"/>
    <w:semiHidden/>
    <w:unhideWhenUsed/>
    <w:qFormat/>
    <w:uiPriority w:val="9"/>
    <w:pPr>
      <w:keepNext/>
      <w:keepLines/>
      <w:spacing w:before="40" w:after="0"/>
      <w:outlineLvl w:val="5"/>
    </w:pPr>
    <w:rPr>
      <w:rFonts w:cstheme="majorBidi"/>
      <w:b/>
      <w:bCs/>
      <w:color w:val="2F5597" w:themeColor="accent1" w:themeShade="BF"/>
    </w:rPr>
  </w:style>
  <w:style w:type="paragraph" w:styleId="9">
    <w:name w:val="heading 7"/>
    <w:basedOn w:val="1"/>
    <w:next w:val="1"/>
    <w:link w:val="26"/>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7"/>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8"/>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40"/>
    <w:qFormat/>
    <w:uiPriority w:val="0"/>
    <w:pPr>
      <w:ind w:left="480" w:hanging="480" w:hangingChars="200"/>
    </w:pPr>
    <w:rPr>
      <w:sz w:val="24"/>
    </w:rPr>
  </w:style>
  <w:style w:type="paragraph" w:styleId="12">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oc 2"/>
    <w:basedOn w:val="1"/>
    <w:next w:val="1"/>
    <w:unhideWhenUsed/>
    <w:qFormat/>
    <w:uiPriority w:val="39"/>
    <w:pPr>
      <w:ind w:left="420" w:leftChars="200"/>
    </w:pPr>
  </w:style>
  <w:style w:type="paragraph" w:styleId="16">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标题 1 字符"/>
    <w:basedOn w:val="19"/>
    <w:link w:val="3"/>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9"/>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9"/>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9"/>
    <w:link w:val="6"/>
    <w:semiHidden/>
    <w:qFormat/>
    <w:uiPriority w:val="9"/>
    <w:rPr>
      <w:rFonts w:cstheme="majorBidi"/>
      <w:color w:val="2F5597" w:themeColor="accent1" w:themeShade="BF"/>
      <w:sz w:val="28"/>
      <w:szCs w:val="28"/>
    </w:rPr>
  </w:style>
  <w:style w:type="character" w:customStyle="1" w:styleId="24">
    <w:name w:val="标题 5 字符"/>
    <w:basedOn w:val="19"/>
    <w:link w:val="7"/>
    <w:semiHidden/>
    <w:qFormat/>
    <w:uiPriority w:val="9"/>
    <w:rPr>
      <w:rFonts w:cstheme="majorBidi"/>
      <w:color w:val="2F5597" w:themeColor="accent1" w:themeShade="BF"/>
      <w:sz w:val="24"/>
    </w:rPr>
  </w:style>
  <w:style w:type="character" w:customStyle="1" w:styleId="25">
    <w:name w:val="标题 6 字符"/>
    <w:basedOn w:val="19"/>
    <w:link w:val="8"/>
    <w:semiHidden/>
    <w:qFormat/>
    <w:uiPriority w:val="9"/>
    <w:rPr>
      <w:rFonts w:cstheme="majorBidi"/>
      <w:b/>
      <w:bCs/>
      <w:color w:val="2F5597" w:themeColor="accent1" w:themeShade="BF"/>
    </w:rPr>
  </w:style>
  <w:style w:type="character" w:customStyle="1" w:styleId="26">
    <w:name w:val="标题 7 字符"/>
    <w:basedOn w:val="19"/>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9"/>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9"/>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9"/>
    <w:link w:val="35"/>
    <w:qFormat/>
    <w:uiPriority w:val="30"/>
    <w:rPr>
      <w:i/>
      <w:iCs/>
      <w:color w:val="2F5597" w:themeColor="accent1" w:themeShade="BF"/>
    </w:rPr>
  </w:style>
  <w:style w:type="character" w:customStyle="1" w:styleId="37">
    <w:name w:val="明显参考1"/>
    <w:basedOn w:val="19"/>
    <w:qFormat/>
    <w:uiPriority w:val="32"/>
    <w:rPr>
      <w:b/>
      <w:bCs/>
      <w:smallCaps/>
      <w:color w:val="2F5597" w:themeColor="accent1" w:themeShade="BF"/>
      <w:spacing w:val="5"/>
    </w:rPr>
  </w:style>
  <w:style w:type="character" w:customStyle="1" w:styleId="38">
    <w:name w:val="页眉 字符"/>
    <w:basedOn w:val="19"/>
    <w:link w:val="13"/>
    <w:qFormat/>
    <w:uiPriority w:val="99"/>
    <w:rPr>
      <w:sz w:val="18"/>
      <w:szCs w:val="18"/>
    </w:rPr>
  </w:style>
  <w:style w:type="character" w:customStyle="1" w:styleId="39">
    <w:name w:val="页脚 字符"/>
    <w:basedOn w:val="19"/>
    <w:link w:val="12"/>
    <w:qFormat/>
    <w:uiPriority w:val="99"/>
    <w:rPr>
      <w:sz w:val="18"/>
      <w:szCs w:val="18"/>
    </w:rPr>
  </w:style>
  <w:style w:type="character" w:customStyle="1" w:styleId="40">
    <w:name w:val="正文文本缩进 字符"/>
    <w:basedOn w:val="19"/>
    <w:link w:val="2"/>
    <w:qFormat/>
    <w:uiPriority w:val="0"/>
    <w:rPr>
      <w:rFonts w:ascii="PingFang SC" w:hAnsi="PingFang SC" w:eastAsia="PingFang SC"/>
      <w:color w:val="1F1F1F"/>
      <w:kern w:val="0"/>
      <w:sz w:val="24"/>
      <w:szCs w:val="22"/>
      <w:lang w:eastAsia="en-US"/>
      <w14:ligatures w14:val="none"/>
    </w:rPr>
  </w:style>
  <w:style w:type="paragraph" w:customStyle="1" w:styleId="41">
    <w:name w:val="正文缩进2格"/>
    <w:basedOn w:val="42"/>
    <w:qFormat/>
    <w:uiPriority w:val="0"/>
    <w:pPr>
      <w:spacing w:line="600" w:lineRule="exact"/>
      <w:ind w:left="360" w:leftChars="400" w:firstLine="639" w:firstLineChars="206"/>
    </w:pPr>
    <w:rPr>
      <w:rFonts w:ascii="仿宋_GB2312" w:hAnsi="宋体" w:eastAsia="仿宋_GB2312" w:cs="宋体"/>
      <w:sz w:val="31"/>
      <w:szCs w:val="28"/>
    </w:rPr>
  </w:style>
  <w:style w:type="paragraph" w:customStyle="1" w:styleId="42">
    <w:name w:val="正文1"/>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43">
    <w:name w:val="修订1"/>
    <w:hidden/>
    <w:unhideWhenUsed/>
    <w:qFormat/>
    <w:uiPriority w:val="99"/>
    <w:pPr>
      <w:spacing w:after="0" w:line="240" w:lineRule="auto"/>
    </w:pPr>
    <w:rPr>
      <w:rFonts w:ascii="PingFang SC" w:hAnsi="PingFang SC" w:eastAsia="PingFang SC" w:cstheme="minorBidi"/>
      <w:color w:val="1F1F1F"/>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2806</Words>
  <Characters>2976</Characters>
  <Lines>198</Lines>
  <Paragraphs>175</Paragraphs>
  <TotalTime>0</TotalTime>
  <ScaleCrop>false</ScaleCrop>
  <LinksUpToDate>false</LinksUpToDate>
  <CharactersWithSpaces>5607</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2026-09-03T22:07:00Z</dcterms:created>
  <dc:creator>imimim</dc:creator>
  <cp:lastModifiedBy>len5</cp:lastModifiedBy>
  <dcterms:modified xsi:type="dcterms:W3CDTF">2026-09-18T17:02:23Z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