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i w:val="0"/>
          <w:iCs w:val="0"/>
          <w:caps w:val="0"/>
          <w:color w:val="auto"/>
          <w:spacing w:val="0"/>
          <w:sz w:val="44"/>
          <w:szCs w:val="44"/>
          <w:lang w:eastAsia="zh-CN"/>
        </w:rPr>
      </w:pPr>
      <w:r>
        <w:rPr>
          <w:rFonts w:hint="eastAsia" w:ascii="方正小标宋简体" w:hAnsi="方正小标宋简体" w:eastAsia="方正小标宋简体" w:cs="方正小标宋简体"/>
          <w:i w:val="0"/>
          <w:iCs w:val="0"/>
          <w:caps w:val="0"/>
          <w:color w:val="auto"/>
          <w:spacing w:val="0"/>
          <w:sz w:val="44"/>
          <w:szCs w:val="44"/>
          <w:lang w:eastAsia="zh-CN"/>
        </w:rPr>
        <w:t>东莞港码头改扩建工作流程优化实施细则</w:t>
      </w:r>
    </w:p>
    <w:p>
      <w:pPr>
        <w:jc w:val="center"/>
        <w:rPr>
          <w:rFonts w:hint="eastAsia" w:ascii="方正小标宋简体" w:hAnsi="方正小标宋简体" w:eastAsia="方正小标宋简体" w:cs="方正小标宋简体"/>
          <w:i w:val="0"/>
          <w:iCs w:val="0"/>
          <w:caps w:val="0"/>
          <w:color w:val="auto"/>
          <w:spacing w:val="0"/>
          <w:sz w:val="44"/>
          <w:szCs w:val="44"/>
          <w:lang w:eastAsia="zh-CN"/>
        </w:rPr>
      </w:pPr>
      <w:r>
        <w:rPr>
          <w:rFonts w:hint="eastAsia" w:ascii="方正小标宋简体" w:hAnsi="方正小标宋简体" w:eastAsia="方正小标宋简体" w:cs="方正小标宋简体"/>
          <w:i w:val="0"/>
          <w:iCs w:val="0"/>
          <w:caps w:val="0"/>
          <w:color w:val="auto"/>
          <w:spacing w:val="0"/>
          <w:sz w:val="44"/>
          <w:szCs w:val="44"/>
          <w:lang w:eastAsia="zh-CN"/>
        </w:rPr>
        <w:t>（征求意见稿）</w:t>
      </w:r>
    </w:p>
    <w:p>
      <w:pPr>
        <w:pStyle w:val="2"/>
        <w:numPr>
          <w:ilvl w:val="0"/>
          <w:numId w:val="0"/>
        </w:numPr>
        <w:ind w:firstLine="643" w:firstLineChars="200"/>
        <w:rPr>
          <w:rFonts w:hint="eastAsia" w:ascii="仿宋_GB2312" w:hAnsi="仿宋_GB2312" w:eastAsia="仿宋_GB2312" w:cs="仿宋_GB2312"/>
          <w:b/>
          <w:bCs/>
          <w:sz w:val="32"/>
          <w:szCs w:val="32"/>
          <w:highlight w:val="none"/>
        </w:rPr>
      </w:pPr>
    </w:p>
    <w:p>
      <w:pPr>
        <w:pStyle w:val="2"/>
        <w:numPr>
          <w:ilvl w:val="0"/>
          <w:numId w:val="0"/>
        </w:numPr>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 xml:space="preserve">第一条  </w:t>
      </w:r>
      <w:r>
        <w:rPr>
          <w:rFonts w:hint="eastAsia" w:ascii="仿宋_GB2312" w:hAnsi="仿宋_GB2312" w:eastAsia="仿宋_GB2312" w:cs="仿宋_GB2312"/>
          <w:sz w:val="32"/>
          <w:szCs w:val="32"/>
          <w:highlight w:val="none"/>
          <w:lang w:eastAsia="zh-CN"/>
        </w:rPr>
        <w:t>法规</w:t>
      </w:r>
      <w:r>
        <w:rPr>
          <w:rFonts w:hint="eastAsia" w:ascii="仿宋_GB2312" w:hAnsi="仿宋_GB2312" w:eastAsia="仿宋_GB2312" w:cs="仿宋_GB2312"/>
          <w:sz w:val="32"/>
          <w:szCs w:val="32"/>
          <w:highlight w:val="none"/>
        </w:rPr>
        <w:t>依据。根据国家五部委《关于加快沿海和内河港口码头改建扩建工作的通知》要求，为充分发挥已有资源潜力，</w:t>
      </w:r>
      <w:r>
        <w:rPr>
          <w:rFonts w:hint="eastAsia" w:ascii="仿宋_GB2312" w:hAnsi="仿宋_GB2312" w:eastAsia="仿宋_GB2312" w:cs="仿宋_GB2312"/>
          <w:sz w:val="32"/>
          <w:szCs w:val="32"/>
          <w:highlight w:val="none"/>
          <w:lang w:eastAsia="zh-CN"/>
        </w:rPr>
        <w:t>推动资源节约集约利用，贯彻落实东莞港高质量发展</w:t>
      </w:r>
      <w:r>
        <w:rPr>
          <w:rFonts w:hint="eastAsia" w:ascii="仿宋_GB2312" w:hAnsi="仿宋_GB2312" w:eastAsia="仿宋_GB2312" w:cs="仿宋_GB2312"/>
          <w:sz w:val="32"/>
          <w:szCs w:val="32"/>
          <w:highlight w:val="none"/>
        </w:rPr>
        <w:t>，依据</w:t>
      </w:r>
      <w:r>
        <w:rPr>
          <w:rFonts w:hint="eastAsia" w:ascii="仿宋_GB2312" w:hAnsi="仿宋_GB2312" w:eastAsia="仿宋_GB2312" w:cs="仿宋_GB2312"/>
          <w:sz w:val="32"/>
          <w:szCs w:val="32"/>
          <w:highlight w:val="none"/>
          <w:lang w:eastAsia="zh-CN"/>
        </w:rPr>
        <w:t>《港口法》</w:t>
      </w:r>
      <w:r>
        <w:rPr>
          <w:rFonts w:hint="eastAsia" w:ascii="仿宋_GB2312" w:hAnsi="仿宋_GB2312" w:eastAsia="仿宋_GB2312" w:cs="仿宋_GB2312"/>
          <w:sz w:val="32"/>
          <w:szCs w:val="32"/>
          <w:highlight w:val="none"/>
        </w:rPr>
        <w:t>、《港口工程建设管理规定》、《港口经营管理规定》、《港口危险货物安全管理规定》、《港口岸线管理使用审批管理办法》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《港口工程竣工验收规程》等有关规定，制定本细则。</w:t>
      </w:r>
    </w:p>
    <w:p>
      <w:pPr>
        <w:pStyle w:val="5"/>
        <w:keepNext w:val="0"/>
        <w:keepLines w:val="0"/>
        <w:pageBreakBefore w:val="0"/>
        <w:widowControl/>
        <w:suppressLineNumbers w:val="0"/>
        <w:kinsoku/>
        <w:wordWrap/>
        <w:overflowPunct/>
        <w:topLinePunct w:val="0"/>
        <w:autoSpaceDE/>
        <w:autoSpaceDN/>
        <w:bidi w:val="0"/>
        <w:adjustRightInd/>
        <w:snapToGrid/>
        <w:spacing w:before="300" w:beforeAutospacing="0" w:after="150" w:afterAutospacing="0" w:line="600" w:lineRule="exact"/>
        <w:ind w:left="0" w:right="0" w:firstLine="643" w:firstLineChars="200"/>
        <w:jc w:val="both"/>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 xml:space="preserve">第二条  </w:t>
      </w:r>
      <w:r>
        <w:rPr>
          <w:rFonts w:hint="eastAsia" w:ascii="仿宋_GB2312" w:hAnsi="仿宋_GB2312" w:eastAsia="仿宋_GB2312" w:cs="仿宋_GB2312"/>
          <w:b w:val="0"/>
          <w:bCs w:val="0"/>
          <w:sz w:val="32"/>
          <w:szCs w:val="32"/>
          <w:highlight w:val="none"/>
          <w:lang w:eastAsia="zh-CN"/>
        </w:rPr>
        <w:t>适用范围。东莞港范围内的码头改扩建项目。</w:t>
      </w:r>
    </w:p>
    <w:p>
      <w:pPr>
        <w:pStyle w:val="5"/>
        <w:keepNext w:val="0"/>
        <w:keepLines w:val="0"/>
        <w:pageBreakBefore w:val="0"/>
        <w:widowControl/>
        <w:suppressLineNumbers w:val="0"/>
        <w:kinsoku/>
        <w:wordWrap/>
        <w:overflowPunct/>
        <w:topLinePunct w:val="0"/>
        <w:autoSpaceDE/>
        <w:autoSpaceDN/>
        <w:bidi w:val="0"/>
        <w:adjustRightInd/>
        <w:snapToGrid/>
        <w:spacing w:before="300" w:beforeAutospacing="0" w:after="150" w:afterAutospacing="0" w:line="600" w:lineRule="exact"/>
        <w:ind w:left="0" w:right="0"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eastAsia="zh-CN"/>
        </w:rPr>
        <w:t>第三条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val="en-US" w:eastAsia="zh-CN"/>
        </w:rPr>
        <w:t>码头改扩建项目分类。</w:t>
      </w:r>
    </w:p>
    <w:p>
      <w:pPr>
        <w:pStyle w:val="5"/>
        <w:keepNext w:val="0"/>
        <w:keepLines w:val="0"/>
        <w:pageBreakBefore w:val="0"/>
        <w:widowControl/>
        <w:suppressLineNumbers w:val="0"/>
        <w:kinsoku/>
        <w:wordWrap/>
        <w:overflowPunct/>
        <w:topLinePunct w:val="0"/>
        <w:autoSpaceDE/>
        <w:autoSpaceDN/>
        <w:bidi w:val="0"/>
        <w:adjustRightInd/>
        <w:snapToGrid/>
        <w:spacing w:before="300" w:beforeAutospacing="0" w:after="15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一）码头等级提升类项目。充分利用码头现有结构，通过少量加长码头结构、增设系缆平台或拓宽码头作业平台，向外侧少量调整码头前沿线，改造附属设施，浚深前沿停泊水域和回旋水域等方式，实现码头靠泊等级的提升。</w:t>
      </w:r>
    </w:p>
    <w:p>
      <w:pPr>
        <w:pStyle w:val="5"/>
        <w:keepNext w:val="0"/>
        <w:keepLines w:val="0"/>
        <w:pageBreakBefore w:val="0"/>
        <w:widowControl/>
        <w:suppressLineNumbers w:val="0"/>
        <w:kinsoku/>
        <w:wordWrap/>
        <w:overflowPunct/>
        <w:topLinePunct w:val="0"/>
        <w:autoSpaceDE/>
        <w:autoSpaceDN/>
        <w:bidi w:val="0"/>
        <w:adjustRightInd/>
        <w:snapToGrid/>
        <w:spacing w:before="300" w:beforeAutospacing="0" w:after="15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（二）码头专业化改造及货类调整类项目。通过改造装卸工艺设备和相应基础设施，实现通用、多用途等非专业化码头向专业化集装箱、干散货、客运码头等的转变，以及不同货类码头之间的转变或功能扩展。</w:t>
      </w:r>
    </w:p>
    <w:p>
      <w:pPr>
        <w:pStyle w:val="5"/>
        <w:keepNext w:val="0"/>
        <w:keepLines w:val="0"/>
        <w:pageBreakBefore w:val="0"/>
        <w:widowControl/>
        <w:suppressLineNumbers w:val="0"/>
        <w:kinsoku/>
        <w:wordWrap/>
        <w:overflowPunct/>
        <w:topLinePunct w:val="0"/>
        <w:autoSpaceDE/>
        <w:autoSpaceDN/>
        <w:bidi w:val="0"/>
        <w:adjustRightInd/>
        <w:snapToGrid/>
        <w:spacing w:before="300" w:beforeAutospacing="0" w:after="150" w:afterAutospacing="0" w:line="600" w:lineRule="exact"/>
        <w:ind w:left="0" w:right="0" w:firstLine="640"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（三）码头预留水工结构等级能力释放类项目。在工程可行性研究、初步设计等阶段已明确预留水工结构等级的码头，通过对水域陆域条件、附属设施等改造，达到预留等级能力。</w:t>
      </w:r>
    </w:p>
    <w:p>
      <w:pPr>
        <w:pStyle w:val="5"/>
        <w:keepNext w:val="0"/>
        <w:keepLines w:val="0"/>
        <w:pageBreakBefore w:val="0"/>
        <w:widowControl/>
        <w:suppressLineNumbers w:val="0"/>
        <w:kinsoku/>
        <w:wordWrap/>
        <w:overflowPunct/>
        <w:topLinePunct w:val="0"/>
        <w:autoSpaceDE/>
        <w:autoSpaceDN/>
        <w:bidi w:val="0"/>
        <w:adjustRightInd/>
        <w:snapToGrid/>
        <w:spacing w:before="300" w:beforeAutospacing="0" w:after="150" w:afterAutospacing="0" w:line="600" w:lineRule="exact"/>
        <w:ind w:left="0" w:right="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（四）码头自动化、智能化改造类项目。不改变现有码头等级和货类，对码头开展自动化、智能化改造，包括传统码头升级改造为自动化码头等新型基础设施改造项目。</w:t>
      </w:r>
    </w:p>
    <w:p>
      <w:pPr>
        <w:pStyle w:val="5"/>
        <w:keepNext w:val="0"/>
        <w:keepLines w:val="0"/>
        <w:pageBreakBefore w:val="0"/>
        <w:widowControl/>
        <w:suppressLineNumbers w:val="0"/>
        <w:kinsoku/>
        <w:wordWrap/>
        <w:overflowPunct/>
        <w:topLinePunct w:val="0"/>
        <w:autoSpaceDE/>
        <w:autoSpaceDN/>
        <w:bidi w:val="0"/>
        <w:adjustRightInd/>
        <w:snapToGrid/>
        <w:spacing w:before="300" w:beforeAutospacing="0" w:after="150" w:afterAutospacing="0" w:line="600" w:lineRule="exact"/>
        <w:ind w:left="0" w:right="0" w:firstLine="643"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第四条</w:t>
      </w:r>
      <w:r>
        <w:rPr>
          <w:rFonts w:hint="eastAsia" w:ascii="仿宋_GB2312" w:hAnsi="仿宋_GB2312" w:eastAsia="仿宋_GB2312" w:cs="仿宋_GB2312"/>
          <w:b w:val="0"/>
          <w:bCs w:val="0"/>
          <w:sz w:val="32"/>
          <w:szCs w:val="32"/>
          <w:highlight w:val="none"/>
          <w:lang w:val="en-US" w:eastAsia="zh-CN"/>
        </w:rPr>
        <w:t xml:space="preserve">  码头改扩建流程优化细则</w:t>
      </w:r>
    </w:p>
    <w:p>
      <w:pPr>
        <w:pStyle w:val="5"/>
        <w:keepNext w:val="0"/>
        <w:keepLines w:val="0"/>
        <w:pageBreakBefore w:val="0"/>
        <w:widowControl/>
        <w:suppressLineNumbers w:val="0"/>
        <w:kinsoku/>
        <w:wordWrap/>
        <w:overflowPunct/>
        <w:topLinePunct w:val="0"/>
        <w:autoSpaceDE/>
        <w:autoSpaceDN/>
        <w:bidi w:val="0"/>
        <w:adjustRightInd/>
        <w:snapToGrid/>
        <w:spacing w:before="300" w:beforeAutospacing="0" w:after="150" w:afterAutospacing="0" w:line="600" w:lineRule="exact"/>
        <w:ind w:left="0" w:right="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（一）项目实施前，项目单位应根据项目实际情况填写东莞港码头改扩建项目流程优化建议表并提交相关附件。</w:t>
      </w:r>
    </w:p>
    <w:p>
      <w:pPr>
        <w:pStyle w:val="5"/>
        <w:keepNext w:val="0"/>
        <w:keepLines w:val="0"/>
        <w:pageBreakBefore w:val="0"/>
        <w:widowControl/>
        <w:suppressLineNumbers w:val="0"/>
        <w:kinsoku/>
        <w:wordWrap/>
        <w:overflowPunct/>
        <w:topLinePunct w:val="0"/>
        <w:autoSpaceDE/>
        <w:autoSpaceDN/>
        <w:bidi w:val="0"/>
        <w:adjustRightInd/>
        <w:snapToGrid/>
        <w:spacing w:before="300" w:beforeAutospacing="0" w:after="150" w:afterAutospacing="0" w:line="600" w:lineRule="exact"/>
        <w:ind w:left="0" w:right="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（二）对（三）类项目，在原工程可行性研究报告已明确预留水工结构等级且码头已经按预留水工结构等级建设和验收的码头，可持原工程可行性研究报告按预留等级重新申报岸线。</w:t>
      </w:r>
    </w:p>
    <w:p>
      <w:pPr>
        <w:pStyle w:val="5"/>
        <w:keepNext w:val="0"/>
        <w:keepLines w:val="0"/>
        <w:pageBreakBefore w:val="0"/>
        <w:widowControl/>
        <w:suppressLineNumbers w:val="0"/>
        <w:kinsoku/>
        <w:wordWrap/>
        <w:overflowPunct/>
        <w:topLinePunct w:val="0"/>
        <w:autoSpaceDE/>
        <w:autoSpaceDN/>
        <w:bidi w:val="0"/>
        <w:adjustRightInd/>
        <w:snapToGrid/>
        <w:spacing w:before="300" w:beforeAutospacing="0" w:after="150" w:afterAutospacing="0" w:line="600" w:lineRule="exact"/>
        <w:ind w:left="0" w:right="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（三）对于不涉及水工结构改变和投资小于5000万元的按照备案管理的项目，初步设计和施工图设计可以合并开展、一次审批，深度应当达到施工图设计深度，办理施工图设计审批手续。</w:t>
      </w:r>
    </w:p>
    <w:p>
      <w:pPr>
        <w:pStyle w:val="5"/>
        <w:keepNext w:val="0"/>
        <w:keepLines w:val="0"/>
        <w:pageBreakBefore w:val="0"/>
        <w:widowControl/>
        <w:suppressLineNumbers w:val="0"/>
        <w:kinsoku/>
        <w:wordWrap/>
        <w:overflowPunct/>
        <w:topLinePunct w:val="0"/>
        <w:autoSpaceDE/>
        <w:autoSpaceDN/>
        <w:bidi w:val="0"/>
        <w:adjustRightInd/>
        <w:snapToGrid/>
        <w:spacing w:before="300" w:beforeAutospacing="0" w:after="150" w:afterAutospacing="0" w:line="600" w:lineRule="exact"/>
        <w:ind w:left="0" w:right="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（四）对（三）（四）类和不涉及水工结构形式改变的（一）（二）类项目等不属于技术复杂、难度较大、风险较大的港口工程建设项目，可不开展第三方技术审查咨询。</w:t>
      </w:r>
    </w:p>
    <w:p>
      <w:pPr>
        <w:pStyle w:val="5"/>
        <w:keepNext w:val="0"/>
        <w:keepLines w:val="0"/>
        <w:pageBreakBefore w:val="0"/>
        <w:widowControl/>
        <w:suppressLineNumbers w:val="0"/>
        <w:kinsoku/>
        <w:wordWrap/>
        <w:overflowPunct/>
        <w:topLinePunct w:val="0"/>
        <w:autoSpaceDE/>
        <w:autoSpaceDN/>
        <w:bidi w:val="0"/>
        <w:adjustRightInd/>
        <w:snapToGrid/>
        <w:spacing w:before="300" w:beforeAutospacing="0" w:after="150" w:afterAutospacing="0" w:line="600" w:lineRule="exact"/>
        <w:ind w:left="0" w:right="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（五）</w:t>
      </w:r>
      <w:r>
        <w:rPr>
          <w:rFonts w:hint="eastAsia" w:ascii="仿宋_GB2312" w:hAnsi="仿宋_GB2312" w:eastAsia="仿宋_GB2312" w:cs="仿宋_GB2312"/>
          <w:i w:val="0"/>
          <w:iCs w:val="0"/>
          <w:caps w:val="0"/>
          <w:color w:val="auto"/>
          <w:spacing w:val="0"/>
          <w:sz w:val="32"/>
          <w:szCs w:val="32"/>
        </w:rPr>
        <w:t>原工程初步设计和施工图设计已包括达到预留规模应实施改造措施的相关设计内容，且满足施工需要的（三）类等无需重新设计的改建扩建项目，经必要的检测评估后（竣工验收未满5年、未发生过质量安全事故，且不存在影响装卸作业的质量缺陷的码头除外），可不重新办理设计审批。</w:t>
      </w:r>
    </w:p>
    <w:p>
      <w:pPr>
        <w:pStyle w:val="5"/>
        <w:keepNext w:val="0"/>
        <w:keepLines w:val="0"/>
        <w:pageBreakBefore w:val="0"/>
        <w:widowControl/>
        <w:suppressLineNumbers w:val="0"/>
        <w:kinsoku/>
        <w:wordWrap/>
        <w:overflowPunct/>
        <w:topLinePunct w:val="0"/>
        <w:autoSpaceDE/>
        <w:autoSpaceDN/>
        <w:bidi w:val="0"/>
        <w:adjustRightInd/>
        <w:snapToGrid/>
        <w:spacing w:before="300" w:beforeAutospacing="0" w:after="150" w:afterAutospacing="0" w:line="600" w:lineRule="exact"/>
        <w:ind w:left="0" w:right="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（六）结构检测评估。结构检测评估应对码头结构实体质量进行检测，并对码头的耐久性、安全性、适用性进行评估，安全性、适用性、耐久性评定应达到A级或B级。</w:t>
      </w:r>
    </w:p>
    <w:p>
      <w:pPr>
        <w:pStyle w:val="5"/>
        <w:keepNext w:val="0"/>
        <w:keepLines w:val="0"/>
        <w:pageBreakBefore w:val="0"/>
        <w:widowControl/>
        <w:suppressLineNumbers w:val="0"/>
        <w:kinsoku/>
        <w:wordWrap/>
        <w:overflowPunct/>
        <w:topLinePunct w:val="0"/>
        <w:autoSpaceDE/>
        <w:autoSpaceDN/>
        <w:bidi w:val="0"/>
        <w:adjustRightInd/>
        <w:snapToGrid/>
        <w:spacing w:before="300" w:beforeAutospacing="0" w:after="150" w:afterAutospacing="0" w:line="600" w:lineRule="exact"/>
        <w:ind w:left="0" w:right="0" w:firstLine="643"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第五条</w:t>
      </w:r>
      <w:r>
        <w:rPr>
          <w:rFonts w:hint="eastAsia" w:ascii="仿宋_GB2312" w:hAnsi="仿宋_GB2312" w:eastAsia="仿宋_GB2312" w:cs="仿宋_GB2312"/>
          <w:b w:val="0"/>
          <w:bCs w:val="0"/>
          <w:sz w:val="32"/>
          <w:szCs w:val="32"/>
          <w:highlight w:val="none"/>
          <w:lang w:val="en-US" w:eastAsia="zh-CN"/>
        </w:rPr>
        <w:t xml:space="preserve"> 其他</w:t>
      </w:r>
    </w:p>
    <w:p>
      <w:pPr>
        <w:pStyle w:val="5"/>
        <w:keepNext w:val="0"/>
        <w:keepLines w:val="0"/>
        <w:pageBreakBefore w:val="0"/>
        <w:widowControl/>
        <w:suppressLineNumbers w:val="0"/>
        <w:kinsoku/>
        <w:wordWrap/>
        <w:overflowPunct/>
        <w:topLinePunct w:val="0"/>
        <w:autoSpaceDE/>
        <w:autoSpaceDN/>
        <w:bidi w:val="0"/>
        <w:adjustRightInd/>
        <w:snapToGrid/>
        <w:spacing w:before="300" w:beforeAutospacing="0" w:after="150" w:afterAutospacing="0" w:line="600" w:lineRule="exact"/>
        <w:ind w:left="0" w:right="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rPr>
        <w:t>本实施细则由</w:t>
      </w:r>
      <w:r>
        <w:rPr>
          <w:rFonts w:hint="eastAsia" w:ascii="仿宋_GB2312" w:hAnsi="仿宋_GB2312" w:eastAsia="仿宋_GB2312" w:cs="仿宋_GB2312"/>
          <w:sz w:val="32"/>
          <w:szCs w:val="32"/>
          <w:highlight w:val="none"/>
          <w:lang w:eastAsia="zh-CN"/>
        </w:rPr>
        <w:t>东莞市交通运输局</w:t>
      </w:r>
      <w:r>
        <w:rPr>
          <w:rFonts w:hint="eastAsia" w:ascii="仿宋_GB2312" w:hAnsi="仿宋_GB2312" w:eastAsia="仿宋_GB2312" w:cs="仿宋_GB2312"/>
          <w:sz w:val="32"/>
          <w:szCs w:val="32"/>
          <w:highlight w:val="none"/>
        </w:rPr>
        <w:t>负责解释，未尽事项按照《港口岸线管理使用审批管理办法》、《港口工程建设管理规定》、《港口危险货物安全管理规定》、《港口工程竣工验收规程》、《港口经营管理规定》等有关规定执行。</w:t>
      </w:r>
    </w:p>
    <w:p>
      <w:pPr>
        <w:rPr>
          <w:rFonts w:hint="eastAsia"/>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jc w:val="center"/>
        <w:rPr>
          <w:rFonts w:hint="eastAsia" w:ascii="仿宋_GB2312" w:hAnsi="仿宋_GB2312" w:eastAsia="仿宋_GB2312" w:cs="仿宋_GB2312"/>
          <w:color w:val="auto"/>
          <w:sz w:val="32"/>
          <w:szCs w:val="32"/>
          <w:highlight w:val="none"/>
          <w:lang w:eastAsia="zh-CN"/>
        </w:rPr>
      </w:pPr>
      <w:r>
        <w:rPr>
          <w:rFonts w:hint="eastAsia" w:ascii="方正小标宋简体" w:hAnsi="方正小标宋简体" w:eastAsia="方正小标宋简体" w:cs="方正小标宋简体"/>
          <w:color w:val="auto"/>
          <w:sz w:val="44"/>
          <w:szCs w:val="44"/>
          <w:highlight w:val="none"/>
          <w:lang w:val="en-US" w:eastAsia="zh-CN"/>
        </w:rPr>
        <w:t>东莞港码头</w:t>
      </w:r>
      <w:r>
        <w:rPr>
          <w:rFonts w:hint="eastAsia" w:ascii="方正小标宋简体" w:hAnsi="方正小标宋简体" w:eastAsia="方正小标宋简体" w:cs="方正小标宋简体"/>
          <w:color w:val="auto"/>
          <w:sz w:val="44"/>
          <w:szCs w:val="44"/>
          <w:highlight w:val="none"/>
          <w:lang w:eastAsia="zh-CN"/>
        </w:rPr>
        <w:t>改扩建项目</w:t>
      </w:r>
      <w:r>
        <w:rPr>
          <w:rFonts w:hint="eastAsia" w:ascii="方正小标宋简体" w:hAnsi="方正小标宋简体" w:eastAsia="方正小标宋简体" w:cs="方正小标宋简体"/>
          <w:color w:val="auto"/>
          <w:sz w:val="44"/>
          <w:szCs w:val="44"/>
          <w:highlight w:val="none"/>
        </w:rPr>
        <w:t>流程</w:t>
      </w:r>
      <w:r>
        <w:rPr>
          <w:rFonts w:hint="eastAsia" w:ascii="方正小标宋简体" w:hAnsi="方正小标宋简体" w:eastAsia="方正小标宋简体" w:cs="方正小标宋简体"/>
          <w:color w:val="auto"/>
          <w:sz w:val="44"/>
          <w:szCs w:val="44"/>
          <w:highlight w:val="none"/>
          <w:lang w:eastAsia="zh-CN"/>
        </w:rPr>
        <w:t>优化建议表</w:t>
      </w:r>
    </w:p>
    <w:p>
      <w:pPr>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28"/>
          <w:szCs w:val="28"/>
          <w:highlight w:val="none"/>
          <w:lang w:val="en-US" w:eastAsia="zh-CN"/>
        </w:rPr>
        <w:t xml:space="preserve">               日期：    年   月   日</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2"/>
        <w:gridCol w:w="4661"/>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663"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iCs w:val="0"/>
                <w:caps w:val="0"/>
                <w:color w:val="auto"/>
                <w:spacing w:val="0"/>
                <w:sz w:val="28"/>
                <w:szCs w:val="28"/>
                <w:vertAlign w:val="baseline"/>
                <w:lang w:eastAsia="zh-CN"/>
              </w:rPr>
            </w:pPr>
            <w:r>
              <w:rPr>
                <w:rFonts w:hint="eastAsia" w:ascii="仿宋_GB2312" w:hAnsi="仿宋_GB2312" w:eastAsia="仿宋_GB2312" w:cs="仿宋_GB2312"/>
                <w:i w:val="0"/>
                <w:iCs w:val="0"/>
                <w:caps w:val="0"/>
                <w:color w:val="auto"/>
                <w:spacing w:val="0"/>
                <w:sz w:val="28"/>
                <w:szCs w:val="28"/>
                <w:vertAlign w:val="baseline"/>
                <w:lang w:eastAsia="zh-CN"/>
              </w:rPr>
              <w:t>项目单位（盖章）</w:t>
            </w:r>
          </w:p>
        </w:tc>
        <w:tc>
          <w:tcPr>
            <w:tcW w:w="3336" w:type="pct"/>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iCs w:val="0"/>
                <w:caps w:val="0"/>
                <w:color w:val="auto"/>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663"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iCs w:val="0"/>
                <w:caps w:val="0"/>
                <w:color w:val="auto"/>
                <w:spacing w:val="0"/>
                <w:sz w:val="28"/>
                <w:szCs w:val="28"/>
                <w:vertAlign w:val="baseline"/>
                <w:lang w:eastAsia="zh-CN"/>
              </w:rPr>
            </w:pPr>
            <w:r>
              <w:rPr>
                <w:rFonts w:hint="eastAsia" w:ascii="仿宋_GB2312" w:hAnsi="仿宋_GB2312" w:eastAsia="仿宋_GB2312" w:cs="仿宋_GB2312"/>
                <w:i w:val="0"/>
                <w:iCs w:val="0"/>
                <w:caps w:val="0"/>
                <w:color w:val="auto"/>
                <w:spacing w:val="0"/>
                <w:sz w:val="28"/>
                <w:szCs w:val="28"/>
                <w:vertAlign w:val="baseline"/>
                <w:lang w:eastAsia="zh-CN"/>
              </w:rPr>
              <w:t>改扩建项目名称</w:t>
            </w:r>
          </w:p>
        </w:tc>
        <w:tc>
          <w:tcPr>
            <w:tcW w:w="3336" w:type="pct"/>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iCs w:val="0"/>
                <w:caps w:val="0"/>
                <w:color w:val="auto"/>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1663"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aps w:val="0"/>
                <w:color w:val="auto"/>
                <w:spacing w:val="0"/>
                <w:sz w:val="28"/>
                <w:szCs w:val="28"/>
                <w:vertAlign w:val="baseline"/>
                <w:lang w:eastAsia="zh-CN"/>
              </w:rPr>
            </w:pPr>
            <w:r>
              <w:rPr>
                <w:rFonts w:hint="eastAsia" w:ascii="仿宋_GB2312" w:hAnsi="仿宋_GB2312" w:eastAsia="仿宋_GB2312" w:cs="仿宋_GB2312"/>
                <w:sz w:val="28"/>
                <w:szCs w:val="28"/>
                <w:lang w:eastAsia="zh-CN"/>
              </w:rPr>
              <w:t>改扩建项目分类</w:t>
            </w:r>
          </w:p>
        </w:tc>
        <w:tc>
          <w:tcPr>
            <w:tcW w:w="3336"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vertAlign w:val="baseline"/>
                <w:lang w:eastAsia="zh-CN"/>
              </w:rPr>
              <w:sym w:font="Wingdings" w:char="00A8"/>
            </w:r>
            <w:r>
              <w:rPr>
                <w:rFonts w:hint="eastAsia" w:ascii="仿宋_GB2312" w:hAnsi="仿宋_GB2312" w:eastAsia="仿宋_GB2312" w:cs="仿宋_GB2312"/>
                <w:i w:val="0"/>
                <w:iCs w:val="0"/>
                <w:caps w:val="0"/>
                <w:color w:val="auto"/>
                <w:spacing w:val="0"/>
                <w:sz w:val="28"/>
                <w:szCs w:val="28"/>
              </w:rPr>
              <w:t>（</w:t>
            </w:r>
            <w:r>
              <w:rPr>
                <w:rFonts w:hint="eastAsia" w:ascii="仿宋_GB2312" w:hAnsi="仿宋_GB2312" w:eastAsia="仿宋_GB2312" w:cs="仿宋_GB2312"/>
                <w:i w:val="0"/>
                <w:iCs w:val="0"/>
                <w:caps w:val="0"/>
                <w:color w:val="auto"/>
                <w:spacing w:val="0"/>
                <w:sz w:val="28"/>
                <w:szCs w:val="28"/>
                <w:lang w:eastAsia="zh-CN"/>
              </w:rPr>
              <w:t>一</w:t>
            </w:r>
            <w:r>
              <w:rPr>
                <w:rFonts w:hint="eastAsia" w:ascii="仿宋_GB2312" w:hAnsi="仿宋_GB2312" w:eastAsia="仿宋_GB2312" w:cs="仿宋_GB2312"/>
                <w:i w:val="0"/>
                <w:iCs w:val="0"/>
                <w:caps w:val="0"/>
                <w:color w:val="auto"/>
                <w:spacing w:val="0"/>
                <w:sz w:val="28"/>
                <w:szCs w:val="28"/>
              </w:rPr>
              <w:t>）码头等级提升类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i w:val="0"/>
                <w:iCs w:val="0"/>
                <w:caps w:val="0"/>
                <w:color w:val="auto"/>
                <w:spacing w:val="0"/>
                <w:sz w:val="28"/>
                <w:szCs w:val="28"/>
                <w:vertAlign w:val="baseline"/>
                <w:lang w:eastAsia="zh-CN"/>
              </w:rPr>
              <w:sym w:font="Wingdings" w:char="00A8"/>
            </w:r>
            <w:r>
              <w:rPr>
                <w:rFonts w:hint="eastAsia" w:ascii="仿宋_GB2312" w:hAnsi="仿宋_GB2312" w:eastAsia="仿宋_GB2312" w:cs="仿宋_GB2312"/>
                <w:i w:val="0"/>
                <w:iCs w:val="0"/>
                <w:caps w:val="0"/>
                <w:color w:val="auto"/>
                <w:spacing w:val="0"/>
                <w:sz w:val="28"/>
                <w:szCs w:val="28"/>
              </w:rPr>
              <w:t>（二）码头专业化改造及货类调整类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i w:val="0"/>
                <w:iCs w:val="0"/>
                <w:caps w:val="0"/>
                <w:color w:val="auto"/>
                <w:spacing w:val="0"/>
                <w:sz w:val="28"/>
                <w:szCs w:val="28"/>
                <w:vertAlign w:val="baseline"/>
                <w:lang w:eastAsia="zh-CN"/>
              </w:rPr>
              <w:sym w:font="Wingdings" w:char="00A8"/>
            </w:r>
            <w:r>
              <w:rPr>
                <w:rFonts w:hint="eastAsia" w:ascii="仿宋_GB2312" w:hAnsi="仿宋_GB2312" w:eastAsia="仿宋_GB2312" w:cs="仿宋_GB2312"/>
                <w:b w:val="0"/>
                <w:bCs w:val="0"/>
                <w:sz w:val="28"/>
                <w:szCs w:val="28"/>
                <w:highlight w:val="none"/>
                <w:lang w:eastAsia="zh-CN"/>
              </w:rPr>
              <w:t>（三）码头预留水工结构等级能力释放类</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i w:val="0"/>
                <w:iCs w:val="0"/>
                <w:caps w:val="0"/>
                <w:color w:val="auto"/>
                <w:spacing w:val="0"/>
                <w:sz w:val="28"/>
                <w:szCs w:val="28"/>
                <w:vertAlign w:val="baseline"/>
                <w:lang w:eastAsia="zh-CN"/>
              </w:rPr>
            </w:pPr>
            <w:r>
              <w:rPr>
                <w:rFonts w:hint="eastAsia" w:ascii="仿宋_GB2312" w:hAnsi="仿宋_GB2312" w:eastAsia="仿宋_GB2312" w:cs="仿宋_GB2312"/>
                <w:i w:val="0"/>
                <w:iCs w:val="0"/>
                <w:caps w:val="0"/>
                <w:color w:val="auto"/>
                <w:spacing w:val="0"/>
                <w:sz w:val="28"/>
                <w:szCs w:val="28"/>
                <w:vertAlign w:val="baseline"/>
                <w:lang w:eastAsia="zh-CN"/>
              </w:rPr>
              <w:sym w:font="Wingdings" w:char="00A8"/>
            </w:r>
            <w:r>
              <w:rPr>
                <w:rFonts w:hint="eastAsia" w:ascii="仿宋_GB2312" w:hAnsi="仿宋_GB2312" w:eastAsia="仿宋_GB2312" w:cs="仿宋_GB2312"/>
                <w:b w:val="0"/>
                <w:bCs w:val="0"/>
                <w:sz w:val="28"/>
                <w:szCs w:val="28"/>
                <w:highlight w:val="none"/>
                <w:lang w:val="en-US" w:eastAsia="zh-CN"/>
              </w:rPr>
              <w:t>（四）码头自动化、智能化改造类</w:t>
            </w:r>
            <w:r>
              <w:rPr>
                <w:rFonts w:hint="eastAsia" w:ascii="仿宋_GB2312" w:hAnsi="仿宋_GB2312" w:eastAsia="仿宋_GB2312" w:cs="仿宋_GB2312"/>
                <w:i w:val="0"/>
                <w:iCs w:val="0"/>
                <w:caps w:val="0"/>
                <w:color w:val="auto"/>
                <w:spacing w:val="0"/>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1663"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原码头概况</w:t>
            </w:r>
          </w:p>
        </w:tc>
        <w:tc>
          <w:tcPr>
            <w:tcW w:w="3336" w:type="pct"/>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主要说明原码头泊位性质、泊位等级、结构预留等级以及原码头建设相关情况。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1663"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改扩建方案</w:t>
            </w:r>
          </w:p>
        </w:tc>
        <w:tc>
          <w:tcPr>
            <w:tcW w:w="3336" w:type="pct"/>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主要说明改扩建拟建泊位性质、泊位等级以及相应建设内容、投资金额相关情况。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1663"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iCs w:val="0"/>
                <w:caps w:val="0"/>
                <w:color w:val="auto"/>
                <w:spacing w:val="0"/>
                <w:sz w:val="28"/>
                <w:szCs w:val="28"/>
                <w:vertAlign w:val="baseline"/>
                <w:lang w:eastAsia="zh-CN"/>
              </w:rPr>
            </w:pPr>
            <w:r>
              <w:rPr>
                <w:rFonts w:hint="eastAsia" w:ascii="仿宋_GB2312" w:hAnsi="仿宋_GB2312" w:eastAsia="仿宋_GB2312" w:cs="仿宋_GB2312"/>
                <w:sz w:val="28"/>
                <w:szCs w:val="28"/>
              </w:rPr>
              <w:t>运营情况</w:t>
            </w:r>
          </w:p>
        </w:tc>
        <w:tc>
          <w:tcPr>
            <w:tcW w:w="3336" w:type="pct"/>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i w:val="0"/>
                <w:iCs w:val="0"/>
                <w:caps w:val="0"/>
                <w:color w:val="auto"/>
                <w:spacing w:val="0"/>
                <w:sz w:val="28"/>
                <w:szCs w:val="28"/>
                <w:vertAlign w:val="baseline"/>
                <w:lang w:eastAsia="zh-CN"/>
              </w:rPr>
            </w:pPr>
            <w:r>
              <w:rPr>
                <w:rFonts w:hint="eastAsia" w:ascii="仿宋_GB2312" w:hAnsi="仿宋_GB2312" w:eastAsia="仿宋_GB2312" w:cs="仿宋_GB2312"/>
                <w:sz w:val="28"/>
                <w:szCs w:val="28"/>
              </w:rPr>
              <w:t>主要说明运营是否正常，有无质量缺陷、是否发生过质量安全事故、作业安全事故、海事安全事故，若有应对缺陷、事故及处理方式和结果做概要说明。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5000" w:type="pct"/>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注：有多个不同类型或等级的泊位需要</w:t>
            </w:r>
            <w:r>
              <w:rPr>
                <w:rFonts w:hint="eastAsia" w:ascii="仿宋_GB2312" w:hAnsi="仿宋_GB2312" w:eastAsia="仿宋_GB2312" w:cs="仿宋_GB2312"/>
                <w:sz w:val="28"/>
                <w:szCs w:val="28"/>
                <w:lang w:eastAsia="zh-CN"/>
              </w:rPr>
              <w:t>改扩建</w:t>
            </w:r>
            <w:r>
              <w:rPr>
                <w:rFonts w:hint="eastAsia" w:ascii="仿宋_GB2312" w:hAnsi="仿宋_GB2312" w:eastAsia="仿宋_GB2312" w:cs="仿宋_GB2312"/>
                <w:sz w:val="28"/>
                <w:szCs w:val="28"/>
              </w:rPr>
              <w:t>时，应分别列出泊位性质、</w:t>
            </w:r>
            <w:r>
              <w:rPr>
                <w:rFonts w:hint="eastAsia" w:ascii="仿宋_GB2312" w:hAnsi="仿宋_GB2312" w:eastAsia="仿宋_GB2312" w:cs="仿宋_GB2312"/>
                <w:sz w:val="28"/>
                <w:szCs w:val="28"/>
                <w:lang w:eastAsia="zh-CN"/>
              </w:rPr>
              <w:t>泊位</w:t>
            </w:r>
            <w:r>
              <w:rPr>
                <w:rFonts w:hint="eastAsia" w:ascii="仿宋_GB2312" w:hAnsi="仿宋_GB2312" w:eastAsia="仿宋_GB2312" w:cs="仿宋_GB2312"/>
                <w:sz w:val="28"/>
                <w:szCs w:val="28"/>
              </w:rPr>
              <w:t>等级和</w:t>
            </w:r>
            <w:r>
              <w:rPr>
                <w:rFonts w:hint="eastAsia" w:ascii="仿宋_GB2312" w:hAnsi="仿宋_GB2312" w:eastAsia="仿宋_GB2312" w:cs="仿宋_GB2312"/>
                <w:sz w:val="28"/>
                <w:szCs w:val="28"/>
                <w:lang w:eastAsia="zh-CN"/>
              </w:rPr>
              <w:t>结构预留等级</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63"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i w:val="0"/>
                <w:iCs w:val="0"/>
                <w:caps w:val="0"/>
                <w:color w:val="auto"/>
                <w:spacing w:val="0"/>
                <w:sz w:val="28"/>
                <w:szCs w:val="28"/>
                <w:vertAlign w:val="baseline"/>
                <w:lang w:eastAsia="zh-CN"/>
              </w:rPr>
            </w:pPr>
            <w:r>
              <w:rPr>
                <w:rFonts w:hint="eastAsia" w:ascii="仿宋_GB2312" w:hAnsi="仿宋_GB2312" w:eastAsia="仿宋_GB2312" w:cs="仿宋_GB2312"/>
                <w:b/>
                <w:bCs/>
                <w:i w:val="0"/>
                <w:iCs w:val="0"/>
                <w:caps w:val="0"/>
                <w:color w:val="auto"/>
                <w:spacing w:val="0"/>
                <w:sz w:val="28"/>
                <w:szCs w:val="28"/>
                <w:vertAlign w:val="baseline"/>
                <w:lang w:eastAsia="zh-CN"/>
              </w:rPr>
              <w:t>建议流程优化类型</w:t>
            </w:r>
          </w:p>
        </w:tc>
        <w:tc>
          <w:tcPr>
            <w:tcW w:w="2736"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i w:val="0"/>
                <w:iCs w:val="0"/>
                <w:caps w:val="0"/>
                <w:color w:val="auto"/>
                <w:spacing w:val="0"/>
                <w:sz w:val="28"/>
                <w:szCs w:val="28"/>
                <w:vertAlign w:val="baseline"/>
                <w:lang w:eastAsia="zh-CN"/>
              </w:rPr>
            </w:pPr>
            <w:r>
              <w:rPr>
                <w:rFonts w:hint="eastAsia" w:ascii="仿宋_GB2312" w:hAnsi="仿宋_GB2312" w:eastAsia="仿宋_GB2312" w:cs="仿宋_GB2312"/>
                <w:b/>
                <w:bCs/>
                <w:i w:val="0"/>
                <w:iCs w:val="0"/>
                <w:caps w:val="0"/>
                <w:color w:val="auto"/>
                <w:spacing w:val="0"/>
                <w:sz w:val="28"/>
                <w:szCs w:val="28"/>
                <w:vertAlign w:val="baseline"/>
                <w:lang w:eastAsia="zh-CN"/>
              </w:rPr>
              <w:t>提交材料</w:t>
            </w:r>
          </w:p>
        </w:tc>
        <w:tc>
          <w:tcPr>
            <w:tcW w:w="599"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i w:val="0"/>
                <w:iCs w:val="0"/>
                <w:caps w:val="0"/>
                <w:color w:val="auto"/>
                <w:spacing w:val="0"/>
                <w:sz w:val="28"/>
                <w:szCs w:val="28"/>
                <w:vertAlign w:val="baseline"/>
                <w:lang w:eastAsia="zh-CN"/>
              </w:rPr>
            </w:pPr>
            <w:r>
              <w:rPr>
                <w:rFonts w:hint="eastAsia" w:ascii="仿宋_GB2312" w:hAnsi="仿宋_GB2312" w:eastAsia="仿宋_GB2312" w:cs="仿宋_GB2312"/>
                <w:b/>
                <w:bCs/>
                <w:i w:val="0"/>
                <w:iCs w:val="0"/>
                <w:caps w:val="0"/>
                <w:color w:val="auto"/>
                <w:spacing w:val="0"/>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663"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iCs w:val="0"/>
                <w:caps w:val="0"/>
                <w:color w:val="auto"/>
                <w:spacing w:val="0"/>
                <w:sz w:val="28"/>
                <w:szCs w:val="28"/>
                <w:vertAlign w:val="baseline"/>
                <w:lang w:eastAsia="zh-CN"/>
              </w:rPr>
            </w:pPr>
            <w:r>
              <w:rPr>
                <w:rFonts w:hint="eastAsia" w:ascii="仿宋_GB2312" w:hAnsi="仿宋_GB2312" w:eastAsia="仿宋_GB2312" w:cs="仿宋_GB2312"/>
                <w:i w:val="0"/>
                <w:iCs w:val="0"/>
                <w:caps w:val="0"/>
                <w:color w:val="auto"/>
                <w:spacing w:val="0"/>
                <w:sz w:val="28"/>
                <w:szCs w:val="28"/>
                <w:vertAlign w:val="baseline"/>
                <w:lang w:eastAsia="zh-CN"/>
              </w:rPr>
              <w:sym w:font="Wingdings" w:char="00A8"/>
            </w:r>
            <w:r>
              <w:rPr>
                <w:rFonts w:hint="eastAsia" w:ascii="仿宋_GB2312" w:hAnsi="仿宋_GB2312" w:eastAsia="仿宋_GB2312" w:cs="仿宋_GB2312"/>
                <w:color w:val="auto"/>
                <w:sz w:val="28"/>
                <w:szCs w:val="28"/>
                <w:highlight w:val="none"/>
              </w:rPr>
              <w:t>持原工程可行性研究报告按预留等级重新申报岸线</w:t>
            </w:r>
          </w:p>
        </w:tc>
        <w:tc>
          <w:tcPr>
            <w:tcW w:w="2736"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i w:val="0"/>
                <w:iCs w:val="0"/>
                <w:caps w:val="0"/>
                <w:color w:val="auto"/>
                <w:spacing w:val="0"/>
                <w:sz w:val="28"/>
                <w:szCs w:val="28"/>
                <w:vertAlign w:val="baseline"/>
                <w:lang w:eastAsia="zh-CN"/>
              </w:rPr>
              <w:sym w:font="Wingdings" w:char="00A8"/>
            </w:r>
            <w:r>
              <w:rPr>
                <w:rFonts w:hint="eastAsia" w:ascii="仿宋_GB2312" w:hAnsi="仿宋_GB2312" w:eastAsia="仿宋_GB2312" w:cs="仿宋_GB2312"/>
                <w:color w:val="auto"/>
                <w:sz w:val="28"/>
                <w:szCs w:val="28"/>
                <w:highlight w:val="none"/>
                <w:lang w:eastAsia="zh-CN"/>
              </w:rPr>
              <w:t>原工程可行性研究报告编制单位出具原工程可行性研究报告是否已</w:t>
            </w:r>
            <w:r>
              <w:rPr>
                <w:rFonts w:hint="eastAsia" w:ascii="仿宋_GB2312" w:hAnsi="仿宋_GB2312" w:eastAsia="仿宋_GB2312" w:cs="仿宋_GB2312"/>
                <w:i w:val="0"/>
                <w:iCs w:val="0"/>
                <w:caps w:val="0"/>
                <w:color w:val="auto"/>
                <w:spacing w:val="0"/>
                <w:sz w:val="28"/>
                <w:szCs w:val="28"/>
                <w:lang w:eastAsia="zh-CN"/>
              </w:rPr>
              <w:t>明确预留水工结构等级</w:t>
            </w:r>
            <w:r>
              <w:rPr>
                <w:rFonts w:hint="eastAsia" w:ascii="仿宋_GB2312" w:hAnsi="仿宋_GB2312" w:eastAsia="仿宋_GB2312" w:cs="仿宋_GB2312"/>
                <w:color w:val="auto"/>
                <w:sz w:val="28"/>
                <w:szCs w:val="28"/>
                <w:highlight w:val="none"/>
              </w:rPr>
              <w:t>的</w:t>
            </w:r>
            <w:r>
              <w:rPr>
                <w:rFonts w:hint="eastAsia" w:ascii="仿宋_GB2312" w:hAnsi="仿宋_GB2312" w:eastAsia="仿宋_GB2312" w:cs="仿宋_GB2312"/>
                <w:color w:val="auto"/>
                <w:sz w:val="28"/>
                <w:szCs w:val="28"/>
                <w:highlight w:val="none"/>
                <w:lang w:eastAsia="zh-CN"/>
              </w:rPr>
              <w:t>说明。</w:t>
            </w:r>
          </w:p>
        </w:tc>
        <w:tc>
          <w:tcPr>
            <w:tcW w:w="599"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iCs w:val="0"/>
                <w:caps w:val="0"/>
                <w:color w:val="auto"/>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663"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iCs w:val="0"/>
                <w:caps w:val="0"/>
                <w:color w:val="auto"/>
                <w:spacing w:val="0"/>
                <w:sz w:val="28"/>
                <w:szCs w:val="28"/>
                <w:vertAlign w:val="baseline"/>
                <w:lang w:eastAsia="zh-CN"/>
              </w:rPr>
            </w:pPr>
            <w:r>
              <w:rPr>
                <w:rFonts w:hint="eastAsia" w:ascii="仿宋_GB2312" w:hAnsi="仿宋_GB2312" w:eastAsia="仿宋_GB2312" w:cs="仿宋_GB2312"/>
                <w:i w:val="0"/>
                <w:iCs w:val="0"/>
                <w:caps w:val="0"/>
                <w:color w:val="auto"/>
                <w:spacing w:val="0"/>
                <w:sz w:val="28"/>
                <w:szCs w:val="28"/>
                <w:vertAlign w:val="baseline"/>
                <w:lang w:eastAsia="zh-CN"/>
              </w:rPr>
              <w:sym w:font="Wingdings" w:char="00A8"/>
            </w:r>
            <w:r>
              <w:rPr>
                <w:rFonts w:hint="eastAsia" w:ascii="仿宋_GB2312" w:hAnsi="仿宋_GB2312" w:eastAsia="仿宋_GB2312" w:cs="仿宋_GB2312"/>
                <w:i w:val="0"/>
                <w:iCs w:val="0"/>
                <w:caps w:val="0"/>
                <w:color w:val="auto"/>
                <w:spacing w:val="0"/>
                <w:sz w:val="28"/>
                <w:szCs w:val="28"/>
                <w:vertAlign w:val="baseline"/>
                <w:lang w:eastAsia="zh-CN"/>
              </w:rPr>
              <w:t>初步设计和施工图合并审批</w:t>
            </w:r>
          </w:p>
        </w:tc>
        <w:tc>
          <w:tcPr>
            <w:tcW w:w="2736"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i w:val="0"/>
                <w:iCs w:val="0"/>
                <w:caps w:val="0"/>
                <w:color w:val="auto"/>
                <w:spacing w:val="0"/>
                <w:sz w:val="28"/>
                <w:szCs w:val="28"/>
                <w:vertAlign w:val="baseline"/>
                <w:lang w:eastAsia="zh-CN"/>
              </w:rPr>
            </w:pPr>
            <w:r>
              <w:rPr>
                <w:rFonts w:hint="eastAsia" w:ascii="仿宋_GB2312" w:hAnsi="仿宋_GB2312" w:eastAsia="仿宋_GB2312" w:cs="仿宋_GB2312"/>
                <w:i w:val="0"/>
                <w:iCs w:val="0"/>
                <w:caps w:val="0"/>
                <w:color w:val="auto"/>
                <w:spacing w:val="0"/>
                <w:sz w:val="28"/>
                <w:szCs w:val="28"/>
                <w:vertAlign w:val="baseline"/>
                <w:lang w:eastAsia="zh-CN"/>
              </w:rPr>
              <w:sym w:font="Wingdings" w:char="00A8"/>
            </w:r>
            <w:r>
              <w:rPr>
                <w:rFonts w:hint="eastAsia" w:ascii="仿宋_GB2312" w:hAnsi="仿宋_GB2312" w:eastAsia="仿宋_GB2312" w:cs="仿宋_GB2312"/>
                <w:color w:val="auto"/>
                <w:sz w:val="28"/>
                <w:szCs w:val="28"/>
                <w:highlight w:val="none"/>
                <w:lang w:eastAsia="zh-CN"/>
              </w:rPr>
              <w:t>设计单位出具改扩建项目不涉及水工结构改变和投资小于</w:t>
            </w:r>
            <w:r>
              <w:rPr>
                <w:rFonts w:hint="eastAsia" w:ascii="仿宋_GB2312" w:hAnsi="仿宋_GB2312" w:eastAsia="仿宋_GB2312" w:cs="仿宋_GB2312"/>
                <w:color w:val="auto"/>
                <w:sz w:val="28"/>
                <w:szCs w:val="28"/>
                <w:highlight w:val="none"/>
                <w:lang w:val="en-US" w:eastAsia="zh-CN"/>
              </w:rPr>
              <w:t>5000万元</w:t>
            </w:r>
            <w:r>
              <w:rPr>
                <w:rFonts w:hint="eastAsia" w:ascii="仿宋_GB2312" w:hAnsi="仿宋_GB2312" w:eastAsia="仿宋_GB2312" w:cs="仿宋_GB2312"/>
                <w:color w:val="auto"/>
                <w:sz w:val="28"/>
                <w:szCs w:val="28"/>
                <w:highlight w:val="none"/>
                <w:lang w:eastAsia="zh-CN"/>
              </w:rPr>
              <w:t>的说明。</w:t>
            </w:r>
          </w:p>
        </w:tc>
        <w:tc>
          <w:tcPr>
            <w:tcW w:w="599"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iCs w:val="0"/>
                <w:caps w:val="0"/>
                <w:color w:val="auto"/>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663"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iCs w:val="0"/>
                <w:caps w:val="0"/>
                <w:color w:val="auto"/>
                <w:spacing w:val="0"/>
                <w:sz w:val="28"/>
                <w:szCs w:val="28"/>
                <w:vertAlign w:val="baseline"/>
                <w:lang w:eastAsia="zh-CN"/>
              </w:rPr>
            </w:pPr>
            <w:r>
              <w:rPr>
                <w:rFonts w:hint="eastAsia" w:ascii="仿宋_GB2312" w:hAnsi="仿宋_GB2312" w:eastAsia="仿宋_GB2312" w:cs="仿宋_GB2312"/>
                <w:i w:val="0"/>
                <w:iCs w:val="0"/>
                <w:caps w:val="0"/>
                <w:color w:val="auto"/>
                <w:spacing w:val="0"/>
                <w:sz w:val="28"/>
                <w:szCs w:val="28"/>
                <w:vertAlign w:val="baseline"/>
                <w:lang w:eastAsia="zh-CN"/>
              </w:rPr>
              <w:sym w:font="Wingdings" w:char="00A8"/>
            </w:r>
            <w:r>
              <w:rPr>
                <w:rFonts w:hint="eastAsia" w:ascii="仿宋_GB2312" w:hAnsi="仿宋_GB2312" w:eastAsia="仿宋_GB2312" w:cs="仿宋_GB2312"/>
                <w:i w:val="0"/>
                <w:iCs w:val="0"/>
                <w:caps w:val="0"/>
                <w:color w:val="auto"/>
                <w:spacing w:val="0"/>
                <w:sz w:val="28"/>
                <w:szCs w:val="28"/>
                <w:vertAlign w:val="baseline"/>
                <w:lang w:eastAsia="zh-CN"/>
              </w:rPr>
              <w:t>不开展第三方技术审查</w:t>
            </w:r>
          </w:p>
        </w:tc>
        <w:tc>
          <w:tcPr>
            <w:tcW w:w="2736"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i w:val="0"/>
                <w:iCs w:val="0"/>
                <w:caps w:val="0"/>
                <w:color w:val="auto"/>
                <w:spacing w:val="0"/>
                <w:sz w:val="28"/>
                <w:szCs w:val="28"/>
                <w:vertAlign w:val="baseline"/>
                <w:lang w:eastAsia="zh-CN"/>
              </w:rPr>
            </w:pPr>
            <w:r>
              <w:rPr>
                <w:rFonts w:hint="eastAsia" w:ascii="仿宋_GB2312" w:hAnsi="仿宋_GB2312" w:eastAsia="仿宋_GB2312" w:cs="仿宋_GB2312"/>
                <w:i w:val="0"/>
                <w:iCs w:val="0"/>
                <w:caps w:val="0"/>
                <w:color w:val="auto"/>
                <w:spacing w:val="0"/>
                <w:sz w:val="28"/>
                <w:szCs w:val="28"/>
                <w:vertAlign w:val="baseline"/>
                <w:lang w:eastAsia="zh-CN"/>
              </w:rPr>
              <w:sym w:font="Wingdings" w:char="00A8"/>
            </w:r>
            <w:r>
              <w:rPr>
                <w:rFonts w:hint="eastAsia" w:ascii="仿宋_GB2312" w:hAnsi="仿宋_GB2312" w:eastAsia="仿宋_GB2312" w:cs="仿宋_GB2312"/>
                <w:i w:val="0"/>
                <w:iCs w:val="0"/>
                <w:caps w:val="0"/>
                <w:color w:val="auto"/>
                <w:spacing w:val="0"/>
                <w:sz w:val="28"/>
                <w:szCs w:val="28"/>
                <w:vertAlign w:val="baseline"/>
                <w:lang w:eastAsia="zh-CN"/>
              </w:rPr>
              <w:t>设计单位出具</w:t>
            </w:r>
            <w:r>
              <w:rPr>
                <w:rFonts w:hint="eastAsia" w:ascii="仿宋_GB2312" w:hAnsi="仿宋_GB2312" w:eastAsia="仿宋_GB2312" w:cs="仿宋_GB2312"/>
                <w:color w:val="auto"/>
                <w:sz w:val="28"/>
                <w:szCs w:val="28"/>
                <w:highlight w:val="none"/>
                <w:lang w:eastAsia="zh-CN"/>
              </w:rPr>
              <w:t>改扩建</w:t>
            </w:r>
            <w:r>
              <w:rPr>
                <w:rFonts w:hint="eastAsia" w:ascii="仿宋_GB2312" w:hAnsi="仿宋_GB2312" w:eastAsia="仿宋_GB2312" w:cs="仿宋_GB2312"/>
                <w:i w:val="0"/>
                <w:iCs w:val="0"/>
                <w:caps w:val="0"/>
                <w:color w:val="auto"/>
                <w:spacing w:val="0"/>
                <w:sz w:val="28"/>
                <w:szCs w:val="28"/>
                <w:vertAlign w:val="baseline"/>
                <w:lang w:eastAsia="zh-CN"/>
              </w:rPr>
              <w:t>项目属于（三）、（四）类或不涉及水工结构形式变化的（一）、（二）类项目的说明。</w:t>
            </w:r>
          </w:p>
        </w:tc>
        <w:tc>
          <w:tcPr>
            <w:tcW w:w="599"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iCs w:val="0"/>
                <w:caps w:val="0"/>
                <w:color w:val="auto"/>
                <w:spacing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663"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iCs w:val="0"/>
                <w:caps w:val="0"/>
                <w:color w:val="auto"/>
                <w:spacing w:val="0"/>
                <w:sz w:val="28"/>
                <w:szCs w:val="28"/>
                <w:vertAlign w:val="baseline"/>
                <w:lang w:eastAsia="zh-CN"/>
              </w:rPr>
            </w:pPr>
            <w:r>
              <w:rPr>
                <w:rFonts w:hint="eastAsia" w:ascii="仿宋_GB2312" w:hAnsi="仿宋_GB2312" w:eastAsia="仿宋_GB2312" w:cs="仿宋_GB2312"/>
                <w:i w:val="0"/>
                <w:iCs w:val="0"/>
                <w:caps w:val="0"/>
                <w:color w:val="auto"/>
                <w:spacing w:val="0"/>
                <w:sz w:val="28"/>
                <w:szCs w:val="28"/>
                <w:vertAlign w:val="baseline"/>
                <w:lang w:eastAsia="zh-CN"/>
              </w:rPr>
              <w:sym w:font="Wingdings" w:char="00A8"/>
            </w:r>
            <w:r>
              <w:rPr>
                <w:rFonts w:hint="eastAsia" w:ascii="仿宋_GB2312" w:hAnsi="仿宋_GB2312" w:eastAsia="仿宋_GB2312" w:cs="仿宋_GB2312"/>
                <w:i w:val="0"/>
                <w:iCs w:val="0"/>
                <w:caps w:val="0"/>
                <w:color w:val="auto"/>
                <w:spacing w:val="0"/>
                <w:sz w:val="28"/>
                <w:szCs w:val="28"/>
                <w:vertAlign w:val="baseline"/>
                <w:lang w:eastAsia="zh-CN"/>
              </w:rPr>
              <w:t>不重新办理设计</w:t>
            </w:r>
          </w:p>
        </w:tc>
        <w:tc>
          <w:tcPr>
            <w:tcW w:w="2736"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i w:val="0"/>
                <w:iCs w:val="0"/>
                <w:caps w:val="0"/>
                <w:color w:val="auto"/>
                <w:spacing w:val="0"/>
                <w:sz w:val="28"/>
                <w:szCs w:val="28"/>
                <w:lang w:eastAsia="zh-CN"/>
              </w:rPr>
            </w:pPr>
            <w:r>
              <w:rPr>
                <w:rFonts w:hint="eastAsia" w:ascii="仿宋_GB2312" w:hAnsi="仿宋_GB2312" w:eastAsia="仿宋_GB2312" w:cs="仿宋_GB2312"/>
                <w:i w:val="0"/>
                <w:iCs w:val="0"/>
                <w:caps w:val="0"/>
                <w:color w:val="auto"/>
                <w:spacing w:val="0"/>
                <w:sz w:val="28"/>
                <w:szCs w:val="28"/>
                <w:vertAlign w:val="baseline"/>
                <w:lang w:eastAsia="zh-CN"/>
              </w:rPr>
              <w:sym w:font="Wingdings" w:char="00A8"/>
            </w:r>
            <w:bookmarkStart w:id="0" w:name="_GoBack"/>
            <w:bookmarkEnd w:id="0"/>
            <w:r>
              <w:rPr>
                <w:rFonts w:hint="eastAsia" w:ascii="仿宋_GB2312" w:hAnsi="仿宋_GB2312" w:eastAsia="仿宋_GB2312" w:cs="仿宋_GB2312"/>
                <w:i w:val="0"/>
                <w:iCs w:val="0"/>
                <w:caps w:val="0"/>
                <w:color w:val="auto"/>
                <w:spacing w:val="0"/>
                <w:sz w:val="28"/>
                <w:szCs w:val="28"/>
                <w:vertAlign w:val="baseline"/>
                <w:lang w:val="en-US" w:eastAsia="zh-CN"/>
              </w:rPr>
              <w:t>原</w:t>
            </w:r>
            <w:r>
              <w:rPr>
                <w:rFonts w:hint="eastAsia" w:ascii="仿宋_GB2312" w:hAnsi="仿宋_GB2312" w:eastAsia="仿宋_GB2312" w:cs="仿宋_GB2312"/>
                <w:i w:val="0"/>
                <w:iCs w:val="0"/>
                <w:caps w:val="0"/>
                <w:color w:val="auto"/>
                <w:spacing w:val="0"/>
                <w:sz w:val="28"/>
                <w:szCs w:val="28"/>
                <w:lang w:eastAsia="zh-CN"/>
              </w:rPr>
              <w:t>设计单位出具</w:t>
            </w:r>
            <w:r>
              <w:rPr>
                <w:rFonts w:hint="eastAsia" w:ascii="仿宋_GB2312" w:hAnsi="仿宋_GB2312" w:eastAsia="仿宋_GB2312" w:cs="仿宋_GB2312"/>
                <w:i w:val="0"/>
                <w:iCs w:val="0"/>
                <w:caps w:val="0"/>
                <w:color w:val="auto"/>
                <w:spacing w:val="0"/>
                <w:sz w:val="28"/>
                <w:szCs w:val="28"/>
              </w:rPr>
              <w:t>原工程初步设计和施工图设计已包括达到预留规模应实施改造措施的相关设计内容，且</w:t>
            </w:r>
            <w:r>
              <w:rPr>
                <w:rFonts w:hint="eastAsia" w:ascii="仿宋_GB2312" w:hAnsi="仿宋_GB2312" w:eastAsia="仿宋_GB2312" w:cs="仿宋_GB2312"/>
                <w:i w:val="0"/>
                <w:iCs w:val="0"/>
                <w:caps w:val="0"/>
                <w:color w:val="auto"/>
                <w:spacing w:val="0"/>
                <w:sz w:val="28"/>
                <w:szCs w:val="28"/>
                <w:lang w:eastAsia="zh-CN"/>
              </w:rPr>
              <w:t>满足施工需要的说明。</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i w:val="0"/>
                <w:iCs w:val="0"/>
                <w:caps w:val="0"/>
                <w:color w:val="auto"/>
                <w:spacing w:val="0"/>
                <w:sz w:val="28"/>
                <w:szCs w:val="28"/>
                <w:lang w:eastAsia="zh-CN"/>
              </w:rPr>
            </w:pPr>
            <w:r>
              <w:rPr>
                <w:rFonts w:hint="eastAsia" w:ascii="仿宋_GB2312" w:hAnsi="仿宋_GB2312" w:eastAsia="仿宋_GB2312" w:cs="仿宋_GB2312"/>
                <w:i w:val="0"/>
                <w:iCs w:val="0"/>
                <w:caps w:val="0"/>
                <w:color w:val="auto"/>
                <w:spacing w:val="0"/>
                <w:sz w:val="28"/>
                <w:szCs w:val="28"/>
                <w:lang w:eastAsia="zh-CN"/>
              </w:rPr>
              <w:sym w:font="Wingdings" w:char="00A8"/>
            </w:r>
            <w:r>
              <w:rPr>
                <w:rFonts w:hint="eastAsia" w:ascii="仿宋_GB2312" w:hAnsi="仿宋_GB2312" w:eastAsia="仿宋_GB2312" w:cs="仿宋_GB2312"/>
                <w:i w:val="0"/>
                <w:iCs w:val="0"/>
                <w:caps w:val="0"/>
                <w:color w:val="auto"/>
                <w:spacing w:val="0"/>
                <w:sz w:val="28"/>
                <w:szCs w:val="28"/>
                <w:lang w:eastAsia="zh-CN"/>
              </w:rPr>
              <w:t>检测评估报告（竣工验收未满5年、未发生过质量安全事故，且不存在影响装卸作业的质量缺陷的码头除外）。</w:t>
            </w:r>
          </w:p>
        </w:tc>
        <w:tc>
          <w:tcPr>
            <w:tcW w:w="599"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iCs w:val="0"/>
                <w:caps w:val="0"/>
                <w:color w:val="auto"/>
                <w:spacing w:val="0"/>
                <w:sz w:val="28"/>
                <w:szCs w:val="28"/>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i w:val="0"/>
          <w:iCs w:val="0"/>
          <w:caps w:val="0"/>
          <w:color w:val="auto"/>
          <w:spacing w:val="0"/>
          <w:sz w:val="28"/>
          <w:szCs w:val="28"/>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8276CA"/>
    <w:multiLevelType w:val="multilevel"/>
    <w:tmpl w:val="408276CA"/>
    <w:lvl w:ilvl="0" w:tentative="0">
      <w:start w:val="1"/>
      <w:numFmt w:val="chineseCountingThousand"/>
      <w:pStyle w:val="2"/>
      <w:lvlText w:val="第%1条"/>
      <w:lvlJc w:val="left"/>
      <w:pPr>
        <w:ind w:left="0" w:firstLine="0"/>
      </w:pPr>
      <w:rPr>
        <w:rFonts w:hint="eastAsia"/>
        <w:b/>
        <w:bCs/>
      </w:rPr>
    </w:lvl>
    <w:lvl w:ilvl="1" w:tentative="0">
      <w:start w:val="1"/>
      <w:numFmt w:val="chineseCountingThousand"/>
      <w:lvlText w:val="（%2）"/>
      <w:lvlJc w:val="left"/>
      <w:pPr>
        <w:ind w:left="0" w:firstLine="0"/>
      </w:pPr>
      <w:rPr>
        <w:rFonts w:hint="default" w:ascii="Times New Roman" w:hAnsi="Times New Roman" w:cs="Times New Roman"/>
      </w:rPr>
    </w:lvl>
    <w:lvl w:ilvl="2" w:tentative="0">
      <w:start w:val="1"/>
      <w:numFmt w:val="lowerLetter"/>
      <w:lvlText w:val="%3)"/>
      <w:lvlJc w:val="left"/>
      <w:pPr>
        <w:ind w:left="0" w:firstLine="482"/>
      </w:pPr>
      <w:rPr>
        <w:rFonts w:hint="default" w:ascii="Times New Roman" w:hAnsi="Times New Roman" w:cs="Times New Roman"/>
      </w:rPr>
    </w:lvl>
    <w:lvl w:ilvl="3" w:tentative="0">
      <w:start w:val="1"/>
      <w:numFmt w:val="bullet"/>
      <w:lvlText w:val=""/>
      <w:lvlJc w:val="left"/>
      <w:pPr>
        <w:ind w:left="0" w:firstLine="482"/>
      </w:pPr>
      <w:rPr>
        <w:rFonts w:hint="default" w:ascii="Symbol" w:hAnsi="Symbol" w:cs="Times New Roman"/>
        <w:b w:val="0"/>
        <w:bCs w:val="0"/>
        <w:i w:val="0"/>
        <w:iCs w:val="0"/>
        <w:caps w:val="0"/>
        <w:smallCaps w:val="0"/>
        <w:strike w:val="0"/>
        <w:dstrike w:val="0"/>
        <w:vanish w:val="0"/>
        <w:color w:val="auto"/>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isLgl/>
      <w:lvlText w:val="%1.%2.%3.%4.%5"/>
      <w:lvlJc w:val="left"/>
      <w:pPr>
        <w:ind w:left="1134" w:hanging="1134"/>
      </w:pPr>
      <w:rPr>
        <w:rFonts w:hint="default" w:ascii="Times New Roman" w:hAnsi="Times New Roman" w:cs="Times New Roman"/>
      </w:rPr>
    </w:lvl>
    <w:lvl w:ilvl="5" w:tentative="0">
      <w:start w:val="1"/>
      <w:numFmt w:val="decimal"/>
      <w:isLgl/>
      <w:lvlText w:val="%1.%2.%3.%4.%5.%6"/>
      <w:lvlJc w:val="left"/>
      <w:pPr>
        <w:ind w:left="0" w:firstLine="1134"/>
      </w:pPr>
      <w:rPr>
        <w:rFonts w:hint="default" w:ascii="Times New Roman" w:hAnsi="Times New Roman" w:cs="Times New Roman"/>
      </w:rPr>
    </w:lvl>
    <w:lvl w:ilvl="6" w:tentative="0">
      <w:start w:val="1"/>
      <w:numFmt w:val="decimal"/>
      <w:isLgl/>
      <w:lvlText w:val="%7)"/>
      <w:lvlJc w:val="left"/>
      <w:pPr>
        <w:ind w:left="652" w:firstLine="482"/>
      </w:pPr>
      <w:rPr>
        <w:rFonts w:hint="eastAsia"/>
        <w:b w:val="0"/>
        <w:bCs w:val="0"/>
        <w:i w:val="0"/>
        <w:iCs w:val="0"/>
        <w:caps w:val="0"/>
        <w:smallCaps w:val="0"/>
        <w:strike w:val="0"/>
        <w:dstrike w:val="0"/>
        <w:vanish w:val="0"/>
        <w:color w:val="000000"/>
        <w:spacing w:val="0"/>
        <w:position w:val="0"/>
        <w:u w:val="none"/>
        <w:vertAlign w:val="baseline"/>
      </w:rPr>
    </w:lvl>
    <w:lvl w:ilvl="7" w:tentative="0">
      <w:start w:val="1"/>
      <w:numFmt w:val="lowerLetter"/>
      <w:lvlText w:val="%8)"/>
      <w:lvlJc w:val="left"/>
      <w:pPr>
        <w:ind w:left="652" w:firstLine="482"/>
      </w:pPr>
      <w:rPr>
        <w:rFonts w:hint="eastAsia"/>
      </w:rPr>
    </w:lvl>
    <w:lvl w:ilvl="8" w:tentative="0">
      <w:start w:val="1"/>
      <w:numFmt w:val="bullet"/>
      <w:lvlText w:val=""/>
      <w:lvlJc w:val="left"/>
      <w:pPr>
        <w:ind w:left="652" w:firstLine="482"/>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47F2C"/>
    <w:rsid w:val="1BBE88FF"/>
    <w:rsid w:val="21C62103"/>
    <w:rsid w:val="338D734D"/>
    <w:rsid w:val="39D10D19"/>
    <w:rsid w:val="451D0658"/>
    <w:rsid w:val="4B78213A"/>
    <w:rsid w:val="4CB049FB"/>
    <w:rsid w:val="4EB46354"/>
    <w:rsid w:val="4FCF9D4E"/>
    <w:rsid w:val="51F4338F"/>
    <w:rsid w:val="52C81786"/>
    <w:rsid w:val="54E251BE"/>
    <w:rsid w:val="572D00D5"/>
    <w:rsid w:val="59C24A78"/>
    <w:rsid w:val="5AB054CA"/>
    <w:rsid w:val="5B7F5279"/>
    <w:rsid w:val="607C1EA7"/>
    <w:rsid w:val="66716A72"/>
    <w:rsid w:val="6E852E40"/>
    <w:rsid w:val="704730FC"/>
    <w:rsid w:val="7927687C"/>
    <w:rsid w:val="7DFF06AA"/>
    <w:rsid w:val="7E485000"/>
    <w:rsid w:val="7F164B98"/>
    <w:rsid w:val="CEFE0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9"/>
    <w:pPr>
      <w:widowControl w:val="0"/>
      <w:numPr>
        <w:ilvl w:val="0"/>
        <w:numId w:val="1"/>
      </w:numPr>
      <w:tabs>
        <w:tab w:val="left" w:pos="1200"/>
      </w:tabs>
      <w:spacing w:line="324" w:lineRule="auto"/>
      <w:jc w:val="both"/>
      <w:outlineLvl w:val="0"/>
    </w:pPr>
    <w:rPr>
      <w:rFonts w:ascii="Times New Roman" w:hAnsi="Times New Roman" w:cs="宋体" w:eastAsiaTheme="minorEastAsia"/>
      <w:kern w:val="44"/>
      <w:sz w:val="30"/>
      <w:szCs w:val="30"/>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Subtitle"/>
    <w:basedOn w:val="1"/>
    <w:next w:val="1"/>
    <w:qFormat/>
    <w:uiPriority w:val="11"/>
    <w:pPr>
      <w:spacing w:before="240" w:after="240" w:line="312" w:lineRule="auto"/>
      <w:jc w:val="center"/>
      <w:outlineLvl w:val="1"/>
    </w:pPr>
    <w:rPr>
      <w:rFonts w:hAnsiTheme="minorHAnsi" w:eastAsiaTheme="minorEastAsia" w:cstheme="minorBidi"/>
      <w:b/>
      <w:bCs/>
      <w:kern w:val="28"/>
      <w:sz w:val="44"/>
      <w:szCs w:val="44"/>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No Spacing"/>
    <w:qFormat/>
    <w:uiPriority w:val="1"/>
    <w:pPr>
      <w:widowControl w:val="0"/>
      <w:jc w:val="both"/>
    </w:pPr>
    <w:rPr>
      <w:rFonts w:cs="宋体" w:asciiTheme="minorEastAsia" w:hAnsiTheme="minorEastAsia" w:eastAsiaTheme="minorEastAsia"/>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2023-09-06T10:33:00Z</dcterms:created>
  <dc:creator>user</dc:creator>
  <cp:lastModifiedBy>everyone</cp:lastModifiedBy>
  <cp:lastPrinted>2023-10-24T08:55:00Z</cp:lastPrinted>
  <dcterms:modified xsi:type="dcterms:W3CDTF">2024-02-21T08:33:49Z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D176092E86A02FCEF51DD4657442F5EA</vt:lpwstr>
  </property>
</Properties>
</file>