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>
        <w:jc w:val="center"/>
      </w:pPr>
      <w:r>
        <w:rPr>
          <w:rFonts w:ascii="Arial"/>
          <w:b/>
          <w:sz w:val="40"/>
        </w:rPr>
        <w:instrText xml:space="preserve">2017年11月运输企业超速十分严重的车辆（130~135km h）明细表</w:instrText>
      </w:r>
    </w:p>
    <w:tbl>
      <w:tblPr>
        <w:tblW w:w="15000" w:type="dxa"/>
        <w:jc w:val="center"/>
        <w:tblBorders>
          <w:top w:val="single" w:space="0"/>
          <w:left w:val="single" w:space="0"/>
          <w:bottom w:val="single" w:space="0"/>
          <w:right w:val="single" w:space="0"/>
          <w:insideH w:val="single" w:space="0"/>
          <w:insideV w:val="single" w:space="0"/>
        </w:tblBorders>
        <w:tblLayout w:type="autofit"/>
      </w:tblPr>
      <w:tblGrid>
        <w:gridCol w:w="300"/>
        <w:gridCol w:w="300"/>
        <w:gridCol w:w="300"/>
        <w:gridCol w:w="300"/>
        <w:gridCol w:w="300"/>
        <w:gridCol w:w="300"/>
      </w:tblGrid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地市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企业名称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车牌颜色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车辆种类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超速报警次数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中国石油天然气运输公司广东分公司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粤ABH766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19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广州市三汽经济发展有限公司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粤AG2553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广州市穗美怡汽车运输有限公司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粤AM2409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广州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广东南湖旅游汽车有限公司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粤AS5725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粤BB4517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粤BB9619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粤BBV761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中信海洋直升机股份有限公司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粤BC4142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粤BC6258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粤BCS268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深圳市宝运发汽车服务有限公司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粤BE3596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深圳粤港汽车运输有限公司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粤BQ9442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深圳市长途汽车客运有限公司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粤BU8070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深圳市龙运发汽车服务有限公司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粤BW1486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深圳市华光达运输实业有限公司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粤BW5509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旅游包车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珠海公交海洲运输有限公司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粤C16813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佛山市高明日骏物流有限公司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粤EX3922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危险货运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粤N08189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粤ND1645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汕尾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海丰县交通客车运输总公司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粤NT0276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rPr>
          <w:trHeight w:val="400"/>
          <w:trHeight w:val="400"/>
          <w:trHeight w:val="400"/>
          <w:trHeight w:val="400"/>
          <w:trHeight w:val="400"/>
          <w:trHeight w:val="400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云浮市汽车运输集团有限公司郁南分公司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粤W05681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黄色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客运班车</w:instrTex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微软雅黑"/>
                <w:b w:val="0"/>
                <w:sz w:val="22"/>
              </w:rPr>
              <w:instrText xml:space="preserve">1</w:instrText>
            </w:r>
          </w:p>
        </w:tc>
      </w:tr>
      <w:tr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微软雅黑"/>
                <w:b/>
                <w:sz w:val="24"/>
              </w:rPr>
              <w:instrText xml:space="preserve">合计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</w:r>
          </w:p>
        </w:tc>
        <w:tc>
          <w:tcPr>
            <w:gridSpan w:val="2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21</w:instrText>
            </w:r>
          </w:p>
        </w:tc>
        <w:tc>
          <w:tcPr>
            <w:gridSpan w:val="1"/>
          </w:tcPr>
          <w:p>
            <w:pPr>
              <w:jc w:val="center"/>
            </w:pPr>
            <w:r>
              <w:rPr>
                <w:rFonts w:ascii="微软雅黑"/>
                <w:b/>
                <w:sz w:val="20"/>
              </w:rPr>
              <w:instrText xml:space="preserve">39</w:instrText>
            </w:r>
          </w:p>
        </w:tc>
      </w:tr>
    </w:tbl>
    <w:sectPr>
      <w:pgSz w:w="20000" w:h="16838"/>
      <w:pgMar w:top="1440" w:right="1800" w:bottom="1440" w:left="1800" w:header="851" w:footer="992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2017-12-05T15:37:55Z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