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2019年02月运输企业超速十分严重的车辆（130~135km h）明细表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超速报警次数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佛山市汽车运输集团有限公司广佛客运分公司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粤AN5936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广东省珠航旅游汽车有限公司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粤AN6008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佛山市汽车运输集团有限公司广佛客运分公司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粤AV4552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粤BBW419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深圳市龙运发汽车服务有限公司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粤BF0612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深圳市康达尔(集团)运输有限公司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粤BP4763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深圳粤港汽车运输有限公司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粤BS6661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深圳市康达尔(集团)运输有限公司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粤BV3333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珠海公交海洲运输有限公司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粤C16866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汕头市潮阳交通客运公司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粤D66332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粤E15936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茂名石化汽车运输有限公司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粤K22235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惠州市汽车运输集团有限公司客运分公司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粤L37058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惠州市惠阳华隆工业气体有限公司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粤LL5069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粤N08189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汕尾市粤运汽车运输有限公司汕尾客运分公司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粤N69372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海丰红之旅旅游运输有限公司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粤N79707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阳江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广东粤运朗日股份有限公司高速客运分公司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粤Q04693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英德市祥鸿运输有限公司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粤R72569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连州市宏达汽车运输有限公司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粤RV1976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20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20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2019-03-02T11:05:48Z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